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7023" w14:textId="77777777" w:rsidR="00F00497" w:rsidRPr="006730C1" w:rsidRDefault="00F00497" w:rsidP="00A70286">
      <w:pPr>
        <w:pStyle w:val="tekst"/>
        <w:spacing w:after="120" w:line="360" w:lineRule="auto"/>
        <w:jc w:val="right"/>
        <w:rPr>
          <w:rFonts w:ascii="Arial" w:hAnsi="Arial" w:cs="Arial"/>
          <w:szCs w:val="24"/>
        </w:rPr>
      </w:pPr>
      <w:r w:rsidRPr="006730C1">
        <w:rPr>
          <w:rFonts w:ascii="Arial" w:hAnsi="Arial" w:cs="Arial"/>
          <w:szCs w:val="24"/>
        </w:rPr>
        <w:t>PROJEKT</w:t>
      </w:r>
    </w:p>
    <w:p w14:paraId="2181C7A8" w14:textId="77777777" w:rsidR="00F00497" w:rsidRPr="006730C1" w:rsidRDefault="00F00497" w:rsidP="00A70286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</w:p>
    <w:p w14:paraId="0AD542D0" w14:textId="77777777" w:rsidR="00F00497" w:rsidRPr="006730C1" w:rsidRDefault="00F00497" w:rsidP="00A70286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6730C1">
        <w:rPr>
          <w:rFonts w:ascii="Arial" w:hAnsi="Arial" w:cs="Arial"/>
          <w:b w:val="0"/>
          <w:bCs/>
          <w:szCs w:val="24"/>
        </w:rPr>
        <w:t>USTAWA</w:t>
      </w:r>
    </w:p>
    <w:p w14:paraId="3270E3AE" w14:textId="77777777" w:rsidR="00F00497" w:rsidRPr="006730C1" w:rsidRDefault="00F00497" w:rsidP="00A70286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6730C1">
        <w:rPr>
          <w:rFonts w:ascii="Arial" w:hAnsi="Arial" w:cs="Arial"/>
          <w:b w:val="0"/>
          <w:bCs/>
          <w:szCs w:val="24"/>
        </w:rPr>
        <w:t>z dnia                         202</w:t>
      </w:r>
      <w:r w:rsidR="00505291">
        <w:rPr>
          <w:rFonts w:ascii="Arial" w:hAnsi="Arial" w:cs="Arial"/>
          <w:b w:val="0"/>
          <w:bCs/>
          <w:szCs w:val="24"/>
        </w:rPr>
        <w:t>6</w:t>
      </w:r>
      <w:r w:rsidRPr="006730C1">
        <w:rPr>
          <w:rFonts w:ascii="Arial" w:hAnsi="Arial" w:cs="Arial"/>
          <w:b w:val="0"/>
          <w:bCs/>
          <w:szCs w:val="24"/>
        </w:rPr>
        <w:t xml:space="preserve"> r.</w:t>
      </w:r>
    </w:p>
    <w:p w14:paraId="2FDB53F1" w14:textId="77777777" w:rsidR="00F00497" w:rsidRPr="006730C1" w:rsidRDefault="00F00497" w:rsidP="00A70286">
      <w:pPr>
        <w:pStyle w:val="Default"/>
        <w:spacing w:after="120" w:line="360" w:lineRule="auto"/>
        <w:jc w:val="center"/>
        <w:rPr>
          <w:rFonts w:ascii="Arial" w:hAnsi="Arial" w:cs="Arial"/>
          <w:lang w:val="pl-PL"/>
        </w:rPr>
      </w:pPr>
      <w:r w:rsidRPr="006730C1">
        <w:rPr>
          <w:rFonts w:ascii="Arial" w:hAnsi="Arial" w:cs="Arial"/>
          <w:color w:val="auto"/>
          <w:lang w:val="pl-PL"/>
        </w:rPr>
        <w:t xml:space="preserve">o zmianie ustawy </w:t>
      </w:r>
      <w:r w:rsidR="007420F7" w:rsidRPr="006730C1">
        <w:rPr>
          <w:rFonts w:ascii="Arial" w:hAnsi="Arial" w:cs="Arial"/>
          <w:lang w:val="pl-PL"/>
        </w:rPr>
        <w:t>o Trybunale Stanu</w:t>
      </w:r>
    </w:p>
    <w:p w14:paraId="0C301434" w14:textId="77777777" w:rsidR="00F00497" w:rsidRPr="006730C1" w:rsidRDefault="00F00497" w:rsidP="00A70286">
      <w:pPr>
        <w:pStyle w:val="Default"/>
        <w:spacing w:after="120" w:line="360" w:lineRule="auto"/>
        <w:jc w:val="both"/>
        <w:rPr>
          <w:rFonts w:ascii="Arial" w:hAnsi="Arial" w:cs="Arial"/>
          <w:b/>
          <w:lang w:val="pl-PL"/>
        </w:rPr>
      </w:pPr>
    </w:p>
    <w:p w14:paraId="2B83C597" w14:textId="77777777" w:rsidR="002637B8" w:rsidRPr="006730C1" w:rsidRDefault="00F00497" w:rsidP="00A70286">
      <w:pPr>
        <w:pStyle w:val="Default"/>
        <w:spacing w:after="120" w:line="360" w:lineRule="auto"/>
        <w:jc w:val="both"/>
        <w:rPr>
          <w:rFonts w:ascii="Arial" w:hAnsi="Arial" w:cs="Arial"/>
          <w:lang w:val="pl-PL"/>
        </w:rPr>
      </w:pPr>
      <w:r w:rsidRPr="006730C1">
        <w:rPr>
          <w:rFonts w:ascii="Arial" w:hAnsi="Arial" w:cs="Arial"/>
          <w:b/>
          <w:lang w:val="pl-PL"/>
        </w:rPr>
        <w:t xml:space="preserve">Art. 1. </w:t>
      </w:r>
      <w:r w:rsidRPr="006730C1">
        <w:rPr>
          <w:rFonts w:ascii="Arial" w:hAnsi="Arial" w:cs="Arial"/>
          <w:lang w:val="pl-PL"/>
        </w:rPr>
        <w:t xml:space="preserve">W ustawie z dnia </w:t>
      </w:r>
      <w:r w:rsidR="007420F7" w:rsidRPr="006730C1">
        <w:rPr>
          <w:rFonts w:ascii="Arial" w:hAnsi="Arial" w:cs="Arial"/>
          <w:lang w:val="pl-PL"/>
        </w:rPr>
        <w:t>26 marca</w:t>
      </w:r>
      <w:r w:rsidR="002637B8" w:rsidRPr="006730C1">
        <w:rPr>
          <w:rFonts w:ascii="Arial" w:hAnsi="Arial" w:cs="Arial"/>
          <w:lang w:val="pl-PL"/>
        </w:rPr>
        <w:t xml:space="preserve"> </w:t>
      </w:r>
      <w:r w:rsidRPr="006730C1">
        <w:rPr>
          <w:rFonts w:ascii="Arial" w:hAnsi="Arial" w:cs="Arial"/>
          <w:lang w:val="pl-PL"/>
        </w:rPr>
        <w:t>19</w:t>
      </w:r>
      <w:r w:rsidR="007420F7" w:rsidRPr="006730C1">
        <w:rPr>
          <w:rFonts w:ascii="Arial" w:hAnsi="Arial" w:cs="Arial"/>
          <w:lang w:val="pl-PL"/>
        </w:rPr>
        <w:t>82</w:t>
      </w:r>
      <w:r w:rsidRPr="006730C1">
        <w:rPr>
          <w:rFonts w:ascii="Arial" w:hAnsi="Arial" w:cs="Arial"/>
          <w:lang w:val="pl-PL"/>
        </w:rPr>
        <w:t xml:space="preserve"> r. </w:t>
      </w:r>
      <w:r w:rsidR="007420F7" w:rsidRPr="006730C1">
        <w:rPr>
          <w:rFonts w:ascii="Arial" w:hAnsi="Arial" w:cs="Arial"/>
          <w:lang w:val="pl-PL"/>
        </w:rPr>
        <w:t>o Trybunale Stanu</w:t>
      </w:r>
      <w:r w:rsidR="002637B8" w:rsidRPr="006730C1">
        <w:rPr>
          <w:rFonts w:ascii="Arial" w:hAnsi="Arial" w:cs="Arial"/>
          <w:lang w:val="pl-PL"/>
        </w:rPr>
        <w:t xml:space="preserve"> (</w:t>
      </w:r>
      <w:r w:rsidR="007420F7" w:rsidRPr="006730C1">
        <w:rPr>
          <w:rFonts w:ascii="Arial" w:hAnsi="Arial" w:cs="Arial"/>
          <w:lang w:val="pl-PL"/>
        </w:rPr>
        <w:t>Dz. U. z 2022 r. poz. 762 oraz z 2024 r. poz. 95</w:t>
      </w:r>
      <w:r w:rsidRPr="006730C1">
        <w:rPr>
          <w:rFonts w:ascii="Arial" w:hAnsi="Arial" w:cs="Arial"/>
          <w:lang w:val="pl-PL"/>
        </w:rPr>
        <w:t xml:space="preserve">) </w:t>
      </w:r>
      <w:r w:rsidR="00AE0915" w:rsidRPr="006730C1">
        <w:rPr>
          <w:rFonts w:ascii="Arial" w:hAnsi="Arial" w:cs="Arial"/>
          <w:lang w:val="pl-PL"/>
        </w:rPr>
        <w:t xml:space="preserve">po art. </w:t>
      </w:r>
      <w:r w:rsidR="00826AC6">
        <w:rPr>
          <w:rFonts w:ascii="Arial" w:hAnsi="Arial" w:cs="Arial"/>
          <w:lang w:val="pl-PL"/>
        </w:rPr>
        <w:t>26b</w:t>
      </w:r>
      <w:r w:rsidR="00826AC6" w:rsidRPr="006730C1">
        <w:rPr>
          <w:rFonts w:ascii="Arial" w:hAnsi="Arial" w:cs="Arial"/>
          <w:lang w:val="pl-PL"/>
        </w:rPr>
        <w:t xml:space="preserve"> </w:t>
      </w:r>
      <w:r w:rsidR="00AE0915" w:rsidRPr="006730C1">
        <w:rPr>
          <w:rFonts w:ascii="Arial" w:hAnsi="Arial" w:cs="Arial"/>
          <w:lang w:val="pl-PL"/>
        </w:rPr>
        <w:t xml:space="preserve">dodaje się art. </w:t>
      </w:r>
      <w:r w:rsidR="00826AC6">
        <w:rPr>
          <w:rFonts w:ascii="Arial" w:hAnsi="Arial" w:cs="Arial"/>
          <w:lang w:val="pl-PL"/>
        </w:rPr>
        <w:t xml:space="preserve">26c </w:t>
      </w:r>
      <w:r w:rsidR="006730C1">
        <w:rPr>
          <w:rFonts w:ascii="Arial" w:hAnsi="Arial" w:cs="Arial"/>
          <w:lang w:val="pl-PL"/>
        </w:rPr>
        <w:t>w brzmieniu</w:t>
      </w:r>
      <w:r w:rsidR="002637B8" w:rsidRPr="006730C1">
        <w:rPr>
          <w:rFonts w:ascii="Arial" w:hAnsi="Arial" w:cs="Arial"/>
          <w:lang w:val="pl-PL"/>
        </w:rPr>
        <w:t>:</w:t>
      </w:r>
    </w:p>
    <w:p w14:paraId="793FFC42" w14:textId="77777777" w:rsidR="00AE0915" w:rsidRPr="000964A2" w:rsidRDefault="00AE0915" w:rsidP="00A70286">
      <w:pPr>
        <w:pStyle w:val="Default"/>
        <w:spacing w:after="120" w:line="360" w:lineRule="auto"/>
        <w:jc w:val="both"/>
        <w:rPr>
          <w:rFonts w:ascii="Arial" w:hAnsi="Arial" w:cs="Arial"/>
          <w:lang w:val="pl-PL"/>
        </w:rPr>
      </w:pPr>
      <w:r w:rsidRPr="006730C1">
        <w:rPr>
          <w:rFonts w:ascii="Arial" w:hAnsi="Arial" w:cs="Arial"/>
          <w:lang w:val="pl-PL"/>
        </w:rPr>
        <w:t>„Art. 2</w:t>
      </w:r>
      <w:r w:rsidR="00826AC6">
        <w:rPr>
          <w:rFonts w:ascii="Arial" w:hAnsi="Arial" w:cs="Arial"/>
          <w:lang w:val="pl-PL"/>
        </w:rPr>
        <w:t>6</w:t>
      </w:r>
      <w:r w:rsidRPr="006730C1">
        <w:rPr>
          <w:rFonts w:ascii="Arial" w:hAnsi="Arial" w:cs="Arial"/>
          <w:lang w:val="pl-PL"/>
        </w:rPr>
        <w:t xml:space="preserve">c. Trybunał Stanu niezwłocznie publikuje wydane przez siebie orzeczenie, a po sporządzeniu jego uzasadnienia – również uzasadnienie orzeczenia, w Biuletynie </w:t>
      </w:r>
      <w:r w:rsidRPr="000964A2">
        <w:rPr>
          <w:rFonts w:ascii="Arial" w:hAnsi="Arial" w:cs="Arial"/>
          <w:lang w:val="pl-PL"/>
        </w:rPr>
        <w:t>Informacji Publicznej na stronie podmiotowej Trybunału Stanu.</w:t>
      </w:r>
      <w:r w:rsidR="000964A2" w:rsidRPr="000964A2">
        <w:rPr>
          <w:rFonts w:ascii="Arial" w:hAnsi="Arial" w:cs="Arial"/>
          <w:lang w:val="pl-PL"/>
        </w:rPr>
        <w:t xml:space="preserve"> Z orzeczeniem lub jego uzasadnieniem publikuje się również zgłoszone zdanie odrębne wraz z jego uzasadnieniem.</w:t>
      </w:r>
      <w:r w:rsidRPr="000964A2">
        <w:rPr>
          <w:rFonts w:ascii="Arial" w:hAnsi="Arial" w:cs="Arial"/>
          <w:lang w:val="pl-PL"/>
        </w:rPr>
        <w:t>”.</w:t>
      </w:r>
    </w:p>
    <w:p w14:paraId="26BD57FB" w14:textId="77777777" w:rsidR="00203DEB" w:rsidRPr="000964A2" w:rsidRDefault="00416FD4" w:rsidP="00A70286">
      <w:pPr>
        <w:pStyle w:val="Default"/>
        <w:spacing w:after="120" w:line="360" w:lineRule="auto"/>
        <w:jc w:val="both"/>
        <w:rPr>
          <w:rFonts w:ascii="Arial" w:hAnsi="Arial" w:cs="Arial"/>
          <w:lang w:val="pl-PL"/>
        </w:rPr>
      </w:pPr>
      <w:r w:rsidRPr="006730C1">
        <w:rPr>
          <w:rFonts w:ascii="Arial" w:hAnsi="Arial" w:cs="Arial"/>
          <w:b/>
          <w:lang w:val="pl-PL"/>
        </w:rPr>
        <w:t>Art</w:t>
      </w:r>
      <w:r w:rsidR="00203DEB" w:rsidRPr="006730C1">
        <w:rPr>
          <w:rFonts w:ascii="Arial" w:hAnsi="Arial" w:cs="Arial"/>
          <w:b/>
          <w:lang w:val="pl-PL"/>
        </w:rPr>
        <w:t xml:space="preserve">. </w:t>
      </w:r>
      <w:r w:rsidR="00E27722" w:rsidRPr="006730C1">
        <w:rPr>
          <w:rFonts w:ascii="Arial" w:hAnsi="Arial" w:cs="Arial"/>
          <w:b/>
          <w:lang w:val="pl-PL"/>
        </w:rPr>
        <w:t xml:space="preserve">2. </w:t>
      </w:r>
      <w:r w:rsidR="00AE0915" w:rsidRPr="006730C1">
        <w:rPr>
          <w:rFonts w:ascii="Arial" w:hAnsi="Arial" w:cs="Arial"/>
          <w:lang w:val="pl-PL"/>
        </w:rPr>
        <w:t xml:space="preserve">W </w:t>
      </w:r>
      <w:r w:rsidR="00826AC6">
        <w:rPr>
          <w:rFonts w:ascii="Arial" w:hAnsi="Arial" w:cs="Arial"/>
          <w:lang w:val="pl-PL"/>
        </w:rPr>
        <w:t xml:space="preserve">terminie 12 miesięcy </w:t>
      </w:r>
      <w:r w:rsidR="00AE0915" w:rsidRPr="006730C1">
        <w:rPr>
          <w:rFonts w:ascii="Arial" w:hAnsi="Arial" w:cs="Arial"/>
          <w:lang w:val="pl-PL"/>
        </w:rPr>
        <w:t xml:space="preserve">od dnia wejścia w życie </w:t>
      </w:r>
      <w:r w:rsidR="00826AC6">
        <w:rPr>
          <w:rFonts w:ascii="Arial" w:hAnsi="Arial" w:cs="Arial"/>
          <w:lang w:val="pl-PL"/>
        </w:rPr>
        <w:t xml:space="preserve">niniejszej </w:t>
      </w:r>
      <w:r w:rsidR="00AE0915" w:rsidRPr="006730C1">
        <w:rPr>
          <w:rFonts w:ascii="Arial" w:hAnsi="Arial" w:cs="Arial"/>
          <w:lang w:val="pl-PL"/>
        </w:rPr>
        <w:t>ustawy Trybunał Stanu opublikuje</w:t>
      </w:r>
      <w:r w:rsidR="00826AC6">
        <w:rPr>
          <w:rFonts w:ascii="Arial" w:hAnsi="Arial" w:cs="Arial"/>
          <w:lang w:val="pl-PL"/>
        </w:rPr>
        <w:t>,</w:t>
      </w:r>
      <w:r w:rsidR="00AE0915" w:rsidRPr="006730C1">
        <w:rPr>
          <w:rFonts w:ascii="Arial" w:hAnsi="Arial" w:cs="Arial"/>
          <w:lang w:val="pl-PL"/>
        </w:rPr>
        <w:t xml:space="preserve"> </w:t>
      </w:r>
      <w:r w:rsidR="00826AC6">
        <w:rPr>
          <w:rFonts w:ascii="Arial" w:hAnsi="Arial" w:cs="Arial"/>
          <w:lang w:val="pl-PL"/>
        </w:rPr>
        <w:t>zgodnie z art. 26c ustawy zmienianej w art. 1,</w:t>
      </w:r>
      <w:r w:rsidR="00AE0915" w:rsidRPr="006730C1">
        <w:rPr>
          <w:rFonts w:ascii="Arial" w:hAnsi="Arial" w:cs="Arial"/>
          <w:lang w:val="pl-PL"/>
        </w:rPr>
        <w:t xml:space="preserve"> </w:t>
      </w:r>
      <w:r w:rsidR="00826AC6">
        <w:rPr>
          <w:rFonts w:ascii="Arial" w:hAnsi="Arial" w:cs="Arial"/>
          <w:lang w:val="pl-PL"/>
        </w:rPr>
        <w:t xml:space="preserve">orzeczenia Trybunału Stanu </w:t>
      </w:r>
      <w:r w:rsidR="00AE0915" w:rsidRPr="006730C1">
        <w:rPr>
          <w:rFonts w:ascii="Arial" w:hAnsi="Arial" w:cs="Arial"/>
          <w:lang w:val="pl-PL"/>
        </w:rPr>
        <w:t xml:space="preserve">wydane przed </w:t>
      </w:r>
      <w:r w:rsidR="00826AC6">
        <w:rPr>
          <w:rFonts w:ascii="Arial" w:hAnsi="Arial" w:cs="Arial"/>
          <w:lang w:val="pl-PL"/>
        </w:rPr>
        <w:t xml:space="preserve">dniem </w:t>
      </w:r>
      <w:r w:rsidR="00AE0915" w:rsidRPr="006730C1">
        <w:rPr>
          <w:rFonts w:ascii="Arial" w:hAnsi="Arial" w:cs="Arial"/>
          <w:lang w:val="pl-PL"/>
        </w:rPr>
        <w:t>wejści</w:t>
      </w:r>
      <w:r w:rsidR="00826AC6">
        <w:rPr>
          <w:rFonts w:ascii="Arial" w:hAnsi="Arial" w:cs="Arial"/>
          <w:lang w:val="pl-PL"/>
        </w:rPr>
        <w:t>a</w:t>
      </w:r>
      <w:r w:rsidR="00AE0915" w:rsidRPr="006730C1">
        <w:rPr>
          <w:rFonts w:ascii="Arial" w:hAnsi="Arial" w:cs="Arial"/>
          <w:lang w:val="pl-PL"/>
        </w:rPr>
        <w:t xml:space="preserve"> w życie niniejszej ustawy wraz z </w:t>
      </w:r>
      <w:r w:rsidR="00826AC6">
        <w:rPr>
          <w:rFonts w:ascii="Arial" w:hAnsi="Arial" w:cs="Arial"/>
          <w:lang w:val="pl-PL"/>
        </w:rPr>
        <w:t xml:space="preserve">ich </w:t>
      </w:r>
      <w:r w:rsidR="00AE0915" w:rsidRPr="000964A2">
        <w:rPr>
          <w:rFonts w:ascii="Arial" w:hAnsi="Arial" w:cs="Arial"/>
          <w:lang w:val="pl-PL"/>
        </w:rPr>
        <w:t>uzasadnieniami</w:t>
      </w:r>
      <w:r w:rsidR="000964A2" w:rsidRPr="000964A2">
        <w:rPr>
          <w:rFonts w:ascii="Arial" w:hAnsi="Arial" w:cs="Arial"/>
          <w:lang w:val="pl-PL"/>
        </w:rPr>
        <w:t xml:space="preserve"> i zgłoszone zdania odrębne wraz z ich uzasadnieniami</w:t>
      </w:r>
      <w:r w:rsidR="00AE0915" w:rsidRPr="000964A2">
        <w:rPr>
          <w:rFonts w:ascii="Arial" w:hAnsi="Arial" w:cs="Arial"/>
          <w:lang w:val="pl-PL"/>
        </w:rPr>
        <w:t>.</w:t>
      </w:r>
    </w:p>
    <w:p w14:paraId="48E4F028" w14:textId="77777777" w:rsidR="00F00497" w:rsidRPr="006730C1" w:rsidRDefault="00F00497" w:rsidP="00A70286">
      <w:pPr>
        <w:pStyle w:val="Default"/>
        <w:spacing w:after="120" w:line="360" w:lineRule="auto"/>
        <w:jc w:val="both"/>
        <w:rPr>
          <w:rFonts w:ascii="Arial" w:hAnsi="Arial" w:cs="Arial"/>
          <w:color w:val="auto"/>
          <w:lang w:val="pl-PL"/>
        </w:rPr>
      </w:pPr>
      <w:r w:rsidRPr="006730C1">
        <w:rPr>
          <w:rFonts w:ascii="Arial" w:hAnsi="Arial" w:cs="Arial"/>
          <w:b/>
          <w:lang w:val="pl-PL"/>
        </w:rPr>
        <w:t xml:space="preserve">Art. </w:t>
      </w:r>
      <w:r w:rsidR="00E27722" w:rsidRPr="006730C1">
        <w:rPr>
          <w:rFonts w:ascii="Arial" w:hAnsi="Arial" w:cs="Arial"/>
          <w:b/>
          <w:lang w:val="pl-PL"/>
        </w:rPr>
        <w:t>3</w:t>
      </w:r>
      <w:r w:rsidRPr="006730C1">
        <w:rPr>
          <w:rFonts w:ascii="Arial" w:hAnsi="Arial" w:cs="Arial"/>
          <w:b/>
          <w:lang w:val="pl-PL"/>
        </w:rPr>
        <w:t xml:space="preserve">. </w:t>
      </w:r>
      <w:r w:rsidRPr="006730C1">
        <w:rPr>
          <w:rFonts w:ascii="Arial" w:hAnsi="Arial" w:cs="Arial"/>
          <w:lang w:val="pl-PL"/>
        </w:rPr>
        <w:t xml:space="preserve">Ustawa wchodzi w życie po upływie </w:t>
      </w:r>
      <w:r w:rsidR="002637B8" w:rsidRPr="006730C1">
        <w:rPr>
          <w:rFonts w:ascii="Arial" w:hAnsi="Arial" w:cs="Arial"/>
          <w:lang w:val="pl-PL"/>
        </w:rPr>
        <w:t>14 dni</w:t>
      </w:r>
      <w:r w:rsidRPr="006730C1">
        <w:rPr>
          <w:rFonts w:ascii="Arial" w:hAnsi="Arial" w:cs="Arial"/>
          <w:lang w:val="pl-PL"/>
        </w:rPr>
        <w:t xml:space="preserve"> od dnia ogłoszenia.</w:t>
      </w:r>
    </w:p>
    <w:p w14:paraId="11DDFC4F" w14:textId="77777777" w:rsidR="00F00497" w:rsidRPr="006730C1" w:rsidRDefault="00F00497" w:rsidP="00A7028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730C1">
        <w:rPr>
          <w:rFonts w:ascii="Arial" w:hAnsi="Arial" w:cs="Arial"/>
          <w:sz w:val="24"/>
          <w:szCs w:val="24"/>
        </w:rPr>
        <w:br w:type="page"/>
      </w:r>
    </w:p>
    <w:p w14:paraId="0C252B02" w14:textId="77777777" w:rsidR="00F00497" w:rsidRPr="006730C1" w:rsidRDefault="00F00497" w:rsidP="00A7028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6730C1">
        <w:rPr>
          <w:rFonts w:ascii="Arial" w:hAnsi="Arial" w:cs="Arial"/>
          <w:sz w:val="24"/>
          <w:szCs w:val="24"/>
        </w:rPr>
        <w:lastRenderedPageBreak/>
        <w:t>UZASADNIENIE</w:t>
      </w:r>
    </w:p>
    <w:p w14:paraId="08EFAA12" w14:textId="77777777" w:rsidR="00F00497" w:rsidRPr="006730C1" w:rsidRDefault="00F00497" w:rsidP="00A7028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6D5C2CCF" w14:textId="77777777" w:rsidR="00F00497" w:rsidRPr="006730C1" w:rsidRDefault="00F00497" w:rsidP="00A70286">
      <w:pPr>
        <w:spacing w:after="120" w:line="360" w:lineRule="auto"/>
        <w:rPr>
          <w:rStyle w:val="Ppogrubienie"/>
          <w:rFonts w:ascii="Arial" w:hAnsi="Arial" w:cs="Arial"/>
          <w:sz w:val="24"/>
          <w:szCs w:val="24"/>
        </w:rPr>
      </w:pPr>
      <w:r w:rsidRPr="006730C1">
        <w:rPr>
          <w:rStyle w:val="Ppogrubienie"/>
          <w:rFonts w:ascii="Arial" w:hAnsi="Arial" w:cs="Arial"/>
          <w:sz w:val="24"/>
          <w:szCs w:val="24"/>
        </w:rPr>
        <w:t>1.</w:t>
      </w:r>
      <w:r w:rsidRPr="006730C1">
        <w:rPr>
          <w:rStyle w:val="Ppogrubienie"/>
          <w:rFonts w:ascii="Arial" w:hAnsi="Arial" w:cs="Arial"/>
          <w:sz w:val="24"/>
          <w:szCs w:val="24"/>
        </w:rPr>
        <w:tab/>
        <w:t>Potrzeba i cel uchwalenia ustawy</w:t>
      </w:r>
    </w:p>
    <w:p w14:paraId="042FEADA" w14:textId="77777777" w:rsidR="00F00497" w:rsidRPr="00A64429" w:rsidRDefault="00F00497" w:rsidP="00A64429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730C1">
        <w:rPr>
          <w:rFonts w:ascii="Arial" w:hAnsi="Arial" w:cs="Arial"/>
          <w:sz w:val="24"/>
          <w:szCs w:val="24"/>
        </w:rPr>
        <w:t xml:space="preserve">Projektowana ustawa jest reakcją Komisji do Spraw Petycji Sejmu RP X </w:t>
      </w:r>
      <w:r w:rsidRPr="00A64429">
        <w:rPr>
          <w:rFonts w:ascii="Arial" w:hAnsi="Arial" w:cs="Arial"/>
          <w:sz w:val="24"/>
          <w:szCs w:val="24"/>
        </w:rPr>
        <w:t>Kadencji na petycję Nr BKSP-144-IX-</w:t>
      </w:r>
      <w:r w:rsidR="002C0619" w:rsidRPr="00A64429">
        <w:rPr>
          <w:rFonts w:ascii="Arial" w:hAnsi="Arial" w:cs="Arial"/>
          <w:sz w:val="24"/>
          <w:szCs w:val="24"/>
        </w:rPr>
        <w:t>773</w:t>
      </w:r>
      <w:r w:rsidRPr="00A64429">
        <w:rPr>
          <w:rFonts w:ascii="Arial" w:hAnsi="Arial" w:cs="Arial"/>
          <w:sz w:val="24"/>
          <w:szCs w:val="24"/>
        </w:rPr>
        <w:t>/2</w:t>
      </w:r>
      <w:r w:rsidR="002C0619" w:rsidRPr="00A64429">
        <w:rPr>
          <w:rFonts w:ascii="Arial" w:hAnsi="Arial" w:cs="Arial"/>
          <w:sz w:val="24"/>
          <w:szCs w:val="24"/>
        </w:rPr>
        <w:t>3 (autor petycji nie wyraził zgody na ujawnienie danych osobowych)</w:t>
      </w:r>
      <w:r w:rsidRPr="00A64429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, </w:t>
      </w:r>
      <w:r w:rsidRPr="00A64429">
        <w:rPr>
          <w:rFonts w:ascii="Arial" w:hAnsi="Arial" w:cs="Arial"/>
          <w:sz w:val="24"/>
          <w:szCs w:val="24"/>
        </w:rPr>
        <w:t>skierowaną do Sejmu RP, którą Komisja uznała za zasadną.</w:t>
      </w:r>
    </w:p>
    <w:p w14:paraId="3D51652B" w14:textId="77777777" w:rsidR="00F00497" w:rsidRPr="006F3781" w:rsidRDefault="00F00497" w:rsidP="00A64429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F3781">
        <w:rPr>
          <w:rFonts w:ascii="Arial" w:hAnsi="Arial" w:cs="Arial"/>
          <w:sz w:val="24"/>
          <w:szCs w:val="24"/>
        </w:rPr>
        <w:t>Celem projektowanej ustawy jest</w:t>
      </w:r>
      <w:r w:rsidR="002C0619" w:rsidRPr="006F3781">
        <w:rPr>
          <w:rFonts w:ascii="Arial" w:hAnsi="Arial" w:cs="Arial"/>
          <w:sz w:val="24"/>
          <w:szCs w:val="24"/>
        </w:rPr>
        <w:t xml:space="preserve"> nałożenie na Trybunał Stanu obowiązku  publikacji wszystkich orzeczeń Trybunału wraz z uzasadnieniami</w:t>
      </w:r>
      <w:r w:rsidR="000964A2" w:rsidRPr="006F3781">
        <w:rPr>
          <w:rFonts w:ascii="Arial" w:hAnsi="Arial" w:cs="Arial"/>
          <w:sz w:val="24"/>
          <w:szCs w:val="24"/>
        </w:rPr>
        <w:t xml:space="preserve"> i zgłoszonych zdań odrębnych wraz z ich uzasadnieniami</w:t>
      </w:r>
      <w:r w:rsidR="006730C1" w:rsidRPr="006F3781">
        <w:rPr>
          <w:rFonts w:ascii="Arial" w:hAnsi="Arial" w:cs="Arial"/>
          <w:sz w:val="24"/>
          <w:szCs w:val="24"/>
        </w:rPr>
        <w:t xml:space="preserve">, </w:t>
      </w:r>
      <w:r w:rsidR="009978A3" w:rsidRPr="006F3781">
        <w:rPr>
          <w:rFonts w:ascii="Arial" w:hAnsi="Arial" w:cs="Arial"/>
          <w:sz w:val="24"/>
          <w:szCs w:val="24"/>
        </w:rPr>
        <w:t xml:space="preserve">tak </w:t>
      </w:r>
      <w:r w:rsidR="002C0619" w:rsidRPr="006F3781">
        <w:rPr>
          <w:rFonts w:ascii="Arial" w:hAnsi="Arial" w:cs="Arial"/>
          <w:sz w:val="24"/>
          <w:szCs w:val="24"/>
        </w:rPr>
        <w:t xml:space="preserve">jak to </w:t>
      </w:r>
      <w:r w:rsidR="009978A3" w:rsidRPr="006F3781">
        <w:rPr>
          <w:rFonts w:ascii="Arial" w:hAnsi="Arial" w:cs="Arial"/>
          <w:sz w:val="24"/>
          <w:szCs w:val="24"/>
        </w:rPr>
        <w:t>w wypadku</w:t>
      </w:r>
      <w:r w:rsidR="002C0619" w:rsidRPr="006F3781">
        <w:rPr>
          <w:rFonts w:ascii="Arial" w:hAnsi="Arial" w:cs="Arial"/>
          <w:sz w:val="24"/>
          <w:szCs w:val="24"/>
        </w:rPr>
        <w:t xml:space="preserve"> orzeczeń Trybunału Konstytucyjnego</w:t>
      </w:r>
      <w:r w:rsidR="007E39AE" w:rsidRPr="006F3781">
        <w:rPr>
          <w:rFonts w:ascii="Arial" w:hAnsi="Arial" w:cs="Arial"/>
          <w:sz w:val="24"/>
          <w:szCs w:val="24"/>
        </w:rPr>
        <w:t xml:space="preserve"> i Sądu Najwyższego</w:t>
      </w:r>
      <w:r w:rsidR="002C0619" w:rsidRPr="006F3781">
        <w:rPr>
          <w:rFonts w:ascii="Arial" w:hAnsi="Arial" w:cs="Arial"/>
          <w:sz w:val="24"/>
          <w:szCs w:val="24"/>
        </w:rPr>
        <w:t>.</w:t>
      </w:r>
      <w:r w:rsidR="006F3781" w:rsidRPr="006F3781">
        <w:rPr>
          <w:rFonts w:ascii="Arial" w:hAnsi="Arial" w:cs="Arial"/>
          <w:sz w:val="24"/>
          <w:szCs w:val="24"/>
        </w:rPr>
        <w:t xml:space="preserve"> Nie ma bowiem żadnego uzasadnienia merytorycznego, aby dostęp do tych orzeczeń, uzasadnień i zgłoszonych zdań odrębnych był ograniczony. W demokratycznym państwie obywatele powinni mieć nieograniczony dostęp do tego typu treści, szczególnie biorąc pod uwagę że Trybunał Stanu orzeka w sprawach naruszenia Konstytucji lub ustawy, w związku z zajmowanym stanowiskiem lub w zakresie swojego urzędowania przez osoby pełniące najważniejsze funkcje w państwie. Dlatego projektowana ustawa jest ważnym działaniem do zwiększenia przejrzystości życia publicznego</w:t>
      </w:r>
      <w:r w:rsidR="00355F65">
        <w:rPr>
          <w:rFonts w:ascii="Arial" w:hAnsi="Arial" w:cs="Arial"/>
          <w:sz w:val="24"/>
          <w:szCs w:val="24"/>
        </w:rPr>
        <w:t xml:space="preserve"> i zwiększenia zaufania obywateli do państwa.</w:t>
      </w:r>
    </w:p>
    <w:p w14:paraId="76A2F065" w14:textId="77777777" w:rsidR="00505291" w:rsidRPr="00A64429" w:rsidRDefault="00505291" w:rsidP="00A64429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3ED415C" w14:textId="77777777" w:rsidR="00505291" w:rsidRPr="00A64429" w:rsidRDefault="00505291" w:rsidP="00A64429">
      <w:pPr>
        <w:pStyle w:val="PKTpunkt"/>
        <w:spacing w:after="120"/>
        <w:ind w:left="0" w:firstLine="0"/>
        <w:rPr>
          <w:rStyle w:val="Ppogrubienie"/>
          <w:rFonts w:ascii="Arial" w:eastAsia="Calibri" w:hAnsi="Arial"/>
          <w:bCs w:val="0"/>
          <w:szCs w:val="24"/>
          <w:lang w:eastAsia="en-US"/>
        </w:rPr>
      </w:pPr>
      <w:r w:rsidRPr="00A64429">
        <w:rPr>
          <w:rStyle w:val="Ppogrubienie"/>
          <w:rFonts w:ascii="Arial" w:eastAsia="Calibri" w:hAnsi="Arial"/>
          <w:bCs w:val="0"/>
          <w:szCs w:val="24"/>
          <w:lang w:eastAsia="en-US"/>
        </w:rPr>
        <w:t>2.</w:t>
      </w:r>
      <w:r w:rsidRPr="00A64429">
        <w:rPr>
          <w:rStyle w:val="Ppogrubienie"/>
          <w:rFonts w:ascii="Arial" w:eastAsia="Calibri" w:hAnsi="Arial"/>
          <w:bCs w:val="0"/>
          <w:szCs w:val="24"/>
          <w:lang w:eastAsia="en-US"/>
        </w:rPr>
        <w:tab/>
        <w:t>Stan w dziedzinie, która ma być unormowana</w:t>
      </w:r>
    </w:p>
    <w:p w14:paraId="1FF14B34" w14:textId="77777777" w:rsidR="00A64429" w:rsidRPr="00A64429" w:rsidRDefault="00A64429" w:rsidP="00FA0B0C">
      <w:pPr>
        <w:pStyle w:val="PKTpunkt"/>
        <w:spacing w:after="120"/>
        <w:ind w:left="0" w:firstLine="708"/>
        <w:rPr>
          <w:rFonts w:ascii="Arial" w:hAnsi="Arial"/>
          <w:szCs w:val="24"/>
        </w:rPr>
      </w:pPr>
      <w:r w:rsidRPr="00A64429">
        <w:rPr>
          <w:rFonts w:ascii="Arial" w:hAnsi="Arial"/>
          <w:szCs w:val="24"/>
        </w:rPr>
        <w:t>Zgodnie z art. 10 ust. 3 ustawy o ogłaszaniu aktów normatywnych i niektórych innych aktów prawnych „</w:t>
      </w:r>
      <w:r w:rsidR="009978A3">
        <w:rPr>
          <w:rFonts w:ascii="Arial" w:hAnsi="Arial"/>
          <w:szCs w:val="24"/>
        </w:rPr>
        <w:t>w</w:t>
      </w:r>
      <w:r w:rsidRPr="00A64429">
        <w:rPr>
          <w:rFonts w:ascii="Arial" w:hAnsi="Arial"/>
          <w:szCs w:val="24"/>
        </w:rPr>
        <w:t xml:space="preserve"> Monitorze Polskim ogłasza się uchwały Sejmu i Senatu oraz Zgromadzenia Narodowego inne niż wymienione w ust. 2, wyroki Trybunału Stanu, a także postanowienia Marszałka Sejmu, jeżeli ich ogłoszenie w Monitorze Polskim jest przewidziane w tych uchwałach lub postanowieniach albo jeżeli odrębne ustawy tak stanowią”. Z przepisu wynika więc, że istnieje jedynie obowiązek publikacji wyroków Trybunału Stanu, bez obowiązku publikacji </w:t>
      </w:r>
      <w:r w:rsidR="009978A3">
        <w:rPr>
          <w:rFonts w:ascii="Arial" w:hAnsi="Arial"/>
          <w:szCs w:val="24"/>
        </w:rPr>
        <w:t xml:space="preserve">ich </w:t>
      </w:r>
      <w:r w:rsidRPr="00A64429">
        <w:rPr>
          <w:rFonts w:ascii="Arial" w:hAnsi="Arial"/>
          <w:szCs w:val="24"/>
        </w:rPr>
        <w:t>uzasadnień.</w:t>
      </w:r>
    </w:p>
    <w:p w14:paraId="06DEC922" w14:textId="77777777" w:rsidR="006F3781" w:rsidRDefault="00A64429" w:rsidP="00FA0B0C">
      <w:pPr>
        <w:spacing w:after="120" w:line="360" w:lineRule="auto"/>
        <w:ind w:firstLine="708"/>
        <w:jc w:val="both"/>
        <w:rPr>
          <w:rFonts w:ascii="Arial" w:hAnsi="Arial"/>
          <w:sz w:val="24"/>
          <w:szCs w:val="24"/>
        </w:rPr>
      </w:pPr>
      <w:r w:rsidRPr="00A64429">
        <w:rPr>
          <w:rFonts w:ascii="Arial" w:hAnsi="Arial"/>
          <w:sz w:val="24"/>
          <w:szCs w:val="24"/>
        </w:rPr>
        <w:t>§ 22 ust. 1</w:t>
      </w:r>
      <w:r w:rsidR="009978A3">
        <w:rPr>
          <w:rFonts w:ascii="Arial" w:hAnsi="Arial"/>
          <w:sz w:val="24"/>
          <w:szCs w:val="24"/>
        </w:rPr>
        <w:t xml:space="preserve"> uchwały Trybunału Stanu z dnia 19 stycznia 2022 r. w sprawie </w:t>
      </w:r>
      <w:r w:rsidRPr="00A64429">
        <w:rPr>
          <w:rFonts w:ascii="Arial" w:hAnsi="Arial"/>
          <w:sz w:val="24"/>
          <w:szCs w:val="24"/>
        </w:rPr>
        <w:t xml:space="preserve">regulaminu Trybunału Stanu </w:t>
      </w:r>
      <w:r w:rsidR="009978A3">
        <w:rPr>
          <w:rFonts w:ascii="Arial" w:hAnsi="Arial"/>
          <w:sz w:val="24"/>
          <w:szCs w:val="24"/>
        </w:rPr>
        <w:t>(M.P. poz. 309)</w:t>
      </w:r>
      <w:r w:rsidR="009978A3" w:rsidRPr="00A64429">
        <w:rPr>
          <w:rFonts w:ascii="Arial" w:hAnsi="Arial"/>
          <w:sz w:val="24"/>
          <w:szCs w:val="24"/>
        </w:rPr>
        <w:t xml:space="preserve"> </w:t>
      </w:r>
      <w:r w:rsidRPr="00A64429">
        <w:rPr>
          <w:rFonts w:ascii="Arial" w:hAnsi="Arial"/>
          <w:sz w:val="24"/>
          <w:szCs w:val="24"/>
        </w:rPr>
        <w:t>stanowi, że „</w:t>
      </w:r>
      <w:r w:rsidR="009978A3">
        <w:rPr>
          <w:rFonts w:ascii="Arial" w:hAnsi="Arial"/>
          <w:sz w:val="24"/>
          <w:szCs w:val="24"/>
        </w:rPr>
        <w:t>u</w:t>
      </w:r>
      <w:r w:rsidRPr="00A64429">
        <w:rPr>
          <w:rFonts w:ascii="Arial" w:hAnsi="Arial"/>
          <w:sz w:val="24"/>
          <w:szCs w:val="24"/>
        </w:rPr>
        <w:t xml:space="preserve">chwałę w sprawie wyrażenia zgody na pociągnięcie członka Trybunału Stanu do odpowiedzialności </w:t>
      </w:r>
      <w:r w:rsidRPr="00A64429">
        <w:rPr>
          <w:rFonts w:ascii="Arial" w:hAnsi="Arial"/>
          <w:sz w:val="24"/>
          <w:szCs w:val="24"/>
        </w:rPr>
        <w:lastRenderedPageBreak/>
        <w:t>karnej lub na pozbawienie wolności ogłasza się bezpośrednio po jej podjęciu. W wyjątkowych przypadkach Trybunał Stanu może odroczyć ogłoszenie uchwały na okres do 14 dni”. Ponadto § 28 ust. 1 tego regulaminu stanowi, że „</w:t>
      </w:r>
      <w:r w:rsidR="009978A3">
        <w:rPr>
          <w:rFonts w:ascii="Arial" w:hAnsi="Arial"/>
          <w:sz w:val="24"/>
          <w:szCs w:val="24"/>
        </w:rPr>
        <w:t>o</w:t>
      </w:r>
      <w:r w:rsidRPr="00A64429">
        <w:rPr>
          <w:rFonts w:ascii="Arial" w:hAnsi="Arial"/>
          <w:sz w:val="24"/>
          <w:szCs w:val="24"/>
        </w:rPr>
        <w:t>rzeczenie podlegające ogłoszeniu sporządza się i ogłasza bezpośrednio po zamknięciu rozprawy lub posiedzenia i naradzie. W wyjątkowych przypadkach Trybunał Stanu może odroczyć ogłoszenie orzeczenia na okres do 14 dni”.</w:t>
      </w:r>
    </w:p>
    <w:p w14:paraId="2BD6DC85" w14:textId="77777777" w:rsidR="00B71557" w:rsidRDefault="006F3781" w:rsidP="00FA0B0C">
      <w:pPr>
        <w:spacing w:after="120"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Aktualna praktyka Trybunału Stanu wykracza poza wąskie obowiązki </w:t>
      </w:r>
      <w:r w:rsidR="00FF42A1">
        <w:rPr>
          <w:rFonts w:ascii="Arial" w:hAnsi="Arial"/>
          <w:sz w:val="24"/>
          <w:szCs w:val="24"/>
        </w:rPr>
        <w:t>nałożone</w:t>
      </w:r>
      <w:r>
        <w:rPr>
          <w:rFonts w:ascii="Arial" w:hAnsi="Arial"/>
          <w:sz w:val="24"/>
          <w:szCs w:val="24"/>
        </w:rPr>
        <w:t xml:space="preserve"> w przepisach, bowiem n</w:t>
      </w:r>
      <w:r w:rsidR="00A64429" w:rsidRPr="00A64429">
        <w:rPr>
          <w:rFonts w:ascii="Arial" w:hAnsi="Arial"/>
          <w:sz w:val="24"/>
          <w:szCs w:val="24"/>
        </w:rPr>
        <w:t>a stronie Trybunału Stanu opublikowane są</w:t>
      </w:r>
      <w:r>
        <w:rPr>
          <w:rFonts w:ascii="Arial" w:hAnsi="Arial"/>
          <w:sz w:val="24"/>
          <w:szCs w:val="24"/>
        </w:rPr>
        <w:t>, pomimo braku obowiązku publikacji,</w:t>
      </w:r>
      <w:r w:rsidR="00A64429" w:rsidRPr="00A64429">
        <w:rPr>
          <w:rFonts w:ascii="Arial" w:hAnsi="Arial"/>
          <w:sz w:val="24"/>
          <w:szCs w:val="24"/>
        </w:rPr>
        <w:t xml:space="preserve"> w formie zanonimizowanej</w:t>
      </w:r>
      <w:r w:rsidR="00B71557">
        <w:rPr>
          <w:rFonts w:ascii="Arial" w:hAnsi="Arial"/>
          <w:sz w:val="24"/>
          <w:szCs w:val="24"/>
        </w:rPr>
        <w:t>:</w:t>
      </w:r>
    </w:p>
    <w:p w14:paraId="6CD69283" w14:textId="77777777" w:rsidR="00B71557" w:rsidRPr="00B71557" w:rsidRDefault="00A64429" w:rsidP="00B71557">
      <w:pPr>
        <w:pStyle w:val="Akapitzlist"/>
        <w:numPr>
          <w:ilvl w:val="0"/>
          <w:numId w:val="11"/>
        </w:numPr>
        <w:spacing w:after="12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B71557">
        <w:rPr>
          <w:rFonts w:ascii="Arial" w:hAnsi="Arial"/>
          <w:sz w:val="24"/>
          <w:szCs w:val="24"/>
        </w:rPr>
        <w:t xml:space="preserve">postanowienie </w:t>
      </w:r>
      <w:r w:rsidR="00ED49F0" w:rsidRPr="00B71557">
        <w:rPr>
          <w:rFonts w:ascii="Arial" w:hAnsi="Arial"/>
          <w:sz w:val="24"/>
          <w:szCs w:val="24"/>
        </w:rPr>
        <w:t xml:space="preserve">z dnia </w:t>
      </w:r>
      <w:r w:rsidRPr="00B71557">
        <w:rPr>
          <w:rFonts w:ascii="Arial" w:hAnsi="Arial"/>
          <w:sz w:val="24"/>
          <w:szCs w:val="24"/>
        </w:rPr>
        <w:t>3 lipca 2019 r. o sygn. TS 2/07</w:t>
      </w:r>
      <w:r w:rsidR="00B71557" w:rsidRPr="00B71557">
        <w:rPr>
          <w:rFonts w:ascii="Arial" w:hAnsi="Arial"/>
          <w:sz w:val="24"/>
          <w:szCs w:val="24"/>
        </w:rPr>
        <w:t>;</w:t>
      </w:r>
    </w:p>
    <w:p w14:paraId="7EBF8E44" w14:textId="09493001" w:rsidR="00B71557" w:rsidRDefault="00A64429" w:rsidP="00B71557">
      <w:pPr>
        <w:pStyle w:val="Akapitzlist"/>
        <w:numPr>
          <w:ilvl w:val="0"/>
          <w:numId w:val="11"/>
        </w:numPr>
        <w:spacing w:after="12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B71557">
        <w:rPr>
          <w:rFonts w:ascii="Arial" w:hAnsi="Arial"/>
          <w:sz w:val="24"/>
          <w:szCs w:val="24"/>
        </w:rPr>
        <w:t>uchwała z dnia 15 maja 2019 r. o sygn. TSZP 1/17 4 wraz z uzasadnie</w:t>
      </w:r>
      <w:r w:rsidR="00B71557" w:rsidRPr="00B71557">
        <w:rPr>
          <w:rFonts w:ascii="Arial" w:hAnsi="Arial"/>
          <w:sz w:val="24"/>
          <w:szCs w:val="24"/>
        </w:rPr>
        <w:t>niem uchwały</w:t>
      </w:r>
      <w:r w:rsidRPr="00B71557">
        <w:rPr>
          <w:rFonts w:ascii="Arial" w:hAnsi="Arial"/>
          <w:sz w:val="24"/>
          <w:szCs w:val="24"/>
        </w:rPr>
        <w:t xml:space="preserve"> oraz 5 zdaniami odrębnymi</w:t>
      </w:r>
      <w:r w:rsidR="00B71557" w:rsidRPr="00B71557">
        <w:rPr>
          <w:rFonts w:ascii="Arial" w:hAnsi="Arial"/>
          <w:sz w:val="24"/>
          <w:szCs w:val="24"/>
        </w:rPr>
        <w:t>;</w:t>
      </w:r>
    </w:p>
    <w:p w14:paraId="15C1CF73" w14:textId="57C351DB" w:rsidR="00B71557" w:rsidRPr="00B71557" w:rsidRDefault="00B71557" w:rsidP="00B71557">
      <w:pPr>
        <w:pStyle w:val="Akapitzlist"/>
        <w:numPr>
          <w:ilvl w:val="0"/>
          <w:numId w:val="11"/>
        </w:numPr>
        <w:spacing w:after="12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B71557">
        <w:rPr>
          <w:rFonts w:ascii="Arial" w:hAnsi="Arial"/>
          <w:sz w:val="24"/>
          <w:szCs w:val="24"/>
        </w:rPr>
        <w:t xml:space="preserve">postanowienie z dnia </w:t>
      </w:r>
      <w:r>
        <w:rPr>
          <w:rFonts w:ascii="Arial" w:hAnsi="Arial"/>
          <w:sz w:val="24"/>
          <w:szCs w:val="24"/>
        </w:rPr>
        <w:t>8</w:t>
      </w:r>
      <w:r w:rsidRPr="00B7155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kwietnia</w:t>
      </w:r>
      <w:r w:rsidRPr="00B71557">
        <w:rPr>
          <w:rFonts w:ascii="Arial" w:hAnsi="Arial"/>
          <w:sz w:val="24"/>
          <w:szCs w:val="24"/>
        </w:rPr>
        <w:t xml:space="preserve"> 20</w:t>
      </w:r>
      <w:r>
        <w:rPr>
          <w:rFonts w:ascii="Arial" w:hAnsi="Arial"/>
          <w:sz w:val="24"/>
          <w:szCs w:val="24"/>
        </w:rPr>
        <w:t>26</w:t>
      </w:r>
      <w:r w:rsidRPr="00B71557">
        <w:rPr>
          <w:rFonts w:ascii="Arial" w:hAnsi="Arial"/>
          <w:sz w:val="24"/>
          <w:szCs w:val="24"/>
        </w:rPr>
        <w:t xml:space="preserve"> r</w:t>
      </w:r>
      <w:r>
        <w:rPr>
          <w:rFonts w:ascii="Arial" w:hAnsi="Arial"/>
          <w:sz w:val="24"/>
          <w:szCs w:val="24"/>
        </w:rPr>
        <w:t xml:space="preserve">, </w:t>
      </w:r>
      <w:r w:rsidRPr="00B71557">
        <w:rPr>
          <w:rFonts w:ascii="Arial" w:hAnsi="Arial"/>
          <w:sz w:val="24"/>
          <w:szCs w:val="24"/>
        </w:rPr>
        <w:t xml:space="preserve">postanowienie z dnia </w:t>
      </w:r>
      <w:r>
        <w:rPr>
          <w:rFonts w:ascii="Arial" w:hAnsi="Arial"/>
          <w:sz w:val="24"/>
          <w:szCs w:val="24"/>
        </w:rPr>
        <w:t>12 maja</w:t>
      </w:r>
      <w:r w:rsidRPr="00B71557">
        <w:rPr>
          <w:rFonts w:ascii="Arial" w:hAnsi="Arial"/>
          <w:sz w:val="24"/>
          <w:szCs w:val="24"/>
        </w:rPr>
        <w:t xml:space="preserve"> 20</w:t>
      </w:r>
      <w:r>
        <w:rPr>
          <w:rFonts w:ascii="Arial" w:hAnsi="Arial"/>
          <w:sz w:val="24"/>
          <w:szCs w:val="24"/>
        </w:rPr>
        <w:t>26</w:t>
      </w:r>
      <w:r w:rsidRPr="00B71557">
        <w:rPr>
          <w:rFonts w:ascii="Arial" w:hAnsi="Arial"/>
          <w:sz w:val="24"/>
          <w:szCs w:val="24"/>
        </w:rPr>
        <w:t xml:space="preserve"> r</w:t>
      </w:r>
      <w:r>
        <w:rPr>
          <w:rFonts w:ascii="Arial" w:hAnsi="Arial"/>
          <w:sz w:val="24"/>
          <w:szCs w:val="24"/>
        </w:rPr>
        <w:t>, i</w:t>
      </w:r>
      <w:r w:rsidRPr="00B71557">
        <w:rPr>
          <w:rFonts w:ascii="Arial" w:hAnsi="Arial"/>
          <w:sz w:val="24"/>
          <w:szCs w:val="24"/>
        </w:rPr>
        <w:t xml:space="preserve"> postanowienie z dnia </w:t>
      </w:r>
      <w:r>
        <w:rPr>
          <w:rFonts w:ascii="Arial" w:hAnsi="Arial"/>
          <w:sz w:val="24"/>
          <w:szCs w:val="24"/>
        </w:rPr>
        <w:t>10</w:t>
      </w:r>
      <w:r w:rsidRPr="00B7155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czerwca</w:t>
      </w:r>
      <w:r w:rsidRPr="00B71557">
        <w:rPr>
          <w:rFonts w:ascii="Arial" w:hAnsi="Arial"/>
          <w:sz w:val="24"/>
          <w:szCs w:val="24"/>
        </w:rPr>
        <w:t xml:space="preserve"> 20</w:t>
      </w:r>
      <w:r>
        <w:rPr>
          <w:rFonts w:ascii="Arial" w:hAnsi="Arial"/>
          <w:sz w:val="24"/>
          <w:szCs w:val="24"/>
        </w:rPr>
        <w:t>26</w:t>
      </w:r>
      <w:r w:rsidRPr="00B71557">
        <w:rPr>
          <w:rFonts w:ascii="Arial" w:hAnsi="Arial"/>
          <w:sz w:val="24"/>
          <w:szCs w:val="24"/>
        </w:rPr>
        <w:t xml:space="preserve"> r</w:t>
      </w:r>
      <w:r>
        <w:rPr>
          <w:rFonts w:ascii="Arial" w:hAnsi="Arial"/>
          <w:sz w:val="24"/>
          <w:szCs w:val="24"/>
        </w:rPr>
        <w:t>, - wszy</w:t>
      </w:r>
      <w:r w:rsidR="00C111BB"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tkie o sygn. TS 2/25. </w:t>
      </w:r>
    </w:p>
    <w:p w14:paraId="47403549" w14:textId="77777777" w:rsidR="00A64429" w:rsidRPr="00A64429" w:rsidRDefault="00A64429" w:rsidP="00FA0B0C">
      <w:pPr>
        <w:spacing w:after="120" w:line="360" w:lineRule="auto"/>
        <w:ind w:firstLine="708"/>
        <w:jc w:val="both"/>
        <w:rPr>
          <w:rFonts w:ascii="Arial" w:hAnsi="Arial"/>
          <w:sz w:val="24"/>
          <w:szCs w:val="24"/>
        </w:rPr>
      </w:pPr>
      <w:r w:rsidRPr="00A64429">
        <w:rPr>
          <w:rFonts w:ascii="Arial" w:hAnsi="Arial"/>
          <w:sz w:val="24"/>
          <w:szCs w:val="24"/>
        </w:rPr>
        <w:t xml:space="preserve">Odmienne zasady </w:t>
      </w:r>
      <w:r w:rsidR="00ED49F0">
        <w:rPr>
          <w:rFonts w:ascii="Arial" w:hAnsi="Arial"/>
          <w:sz w:val="24"/>
          <w:szCs w:val="24"/>
        </w:rPr>
        <w:t>dotyczą</w:t>
      </w:r>
      <w:r w:rsidRPr="00A64429">
        <w:rPr>
          <w:rFonts w:ascii="Arial" w:hAnsi="Arial"/>
          <w:sz w:val="24"/>
          <w:szCs w:val="24"/>
        </w:rPr>
        <w:t xml:space="preserve"> orzeczeń Sądu Najwyższego i Trybunału Konstytucyjnego.</w:t>
      </w:r>
      <w:r w:rsidR="00FA0B0C">
        <w:rPr>
          <w:rFonts w:ascii="Arial" w:hAnsi="Arial"/>
          <w:sz w:val="24"/>
          <w:szCs w:val="24"/>
        </w:rPr>
        <w:t xml:space="preserve"> </w:t>
      </w:r>
      <w:r w:rsidRPr="00A64429">
        <w:rPr>
          <w:rFonts w:ascii="Arial" w:hAnsi="Arial"/>
          <w:sz w:val="24"/>
          <w:szCs w:val="24"/>
        </w:rPr>
        <w:t>Art. 8 ustawy o Sądzie Najwyższym stanowi, że „Sąd Najwyższy niezwłocznie publikuje wydane przez siebie orzeczenie, a po sporządzeniu jego uzasadnienia – również uzasadnienie orzeczenia, w Biuletynie Informacji Publicznej na stronie podmiotowej Sądu Najwyższego. Z orzeczeniem lub jego uzasadnieniem publikuje się również zgłoszone zdanie odrębne wraz z jego uzasadnieniem”. Podobne unormowanie w zakresie obowiązku publikacji orzeczeń znajduje się w art. 115 ustawy o organizacji i trybie postępowania przed Trybunałem Konstytucyjnym, w myśl którego: „1. Trybunał wydaje zbiór swoich orzeczeń w postaci elektronicznej. 2. W zbiorze, o którym mowa w ust. 1, publikuje się orzeczenia wraz z uzasadnieniami i zdaniami odrębnymi. 3. Nazwa «Orzecznictwo Trybunału Konstytucyjnego» podlega ochronie prawnej”. „Orzecznictwo Trybunału Konstytucyjnego. Zbiór Urzędowy” zamieszcza</w:t>
      </w:r>
      <w:r w:rsidR="00F00F99">
        <w:rPr>
          <w:rFonts w:ascii="Arial" w:hAnsi="Arial"/>
          <w:sz w:val="24"/>
          <w:szCs w:val="24"/>
        </w:rPr>
        <w:t xml:space="preserve"> się</w:t>
      </w:r>
      <w:r w:rsidRPr="00A64429">
        <w:rPr>
          <w:rFonts w:ascii="Arial" w:hAnsi="Arial"/>
          <w:sz w:val="24"/>
          <w:szCs w:val="24"/>
        </w:rPr>
        <w:t xml:space="preserve"> w wersji elektronicznej na stronie podmiotowej Trybunału Konstytucyjnego.</w:t>
      </w:r>
    </w:p>
    <w:p w14:paraId="05490871" w14:textId="77777777" w:rsidR="00A64429" w:rsidRPr="00A64429" w:rsidRDefault="00A64429" w:rsidP="00A64429">
      <w:pPr>
        <w:pStyle w:val="PKTpunkt"/>
        <w:spacing w:after="120"/>
        <w:ind w:left="0" w:firstLine="0"/>
        <w:rPr>
          <w:rStyle w:val="Ppogrubienie"/>
          <w:rFonts w:ascii="Arial" w:eastAsia="Calibri" w:hAnsi="Arial"/>
          <w:bCs w:val="0"/>
          <w:szCs w:val="24"/>
          <w:lang w:eastAsia="en-US"/>
        </w:rPr>
      </w:pPr>
    </w:p>
    <w:p w14:paraId="5DD57F23" w14:textId="77777777" w:rsidR="00F00497" w:rsidRPr="00A64429" w:rsidRDefault="00505291" w:rsidP="00A64429">
      <w:pPr>
        <w:pStyle w:val="PKTpunkt"/>
        <w:spacing w:after="120"/>
        <w:rPr>
          <w:rStyle w:val="Ppogrubienie"/>
          <w:rFonts w:ascii="Arial" w:eastAsia="Calibri" w:hAnsi="Arial"/>
          <w:bCs w:val="0"/>
          <w:szCs w:val="24"/>
          <w:lang w:eastAsia="en-US"/>
        </w:rPr>
      </w:pPr>
      <w:r w:rsidRPr="00A64429">
        <w:rPr>
          <w:rStyle w:val="Ppogrubienie"/>
          <w:rFonts w:ascii="Arial" w:eastAsia="Calibri" w:hAnsi="Arial"/>
          <w:bCs w:val="0"/>
          <w:szCs w:val="24"/>
          <w:lang w:eastAsia="en-US"/>
        </w:rPr>
        <w:t>3.</w:t>
      </w:r>
      <w:r w:rsidRPr="00A64429">
        <w:rPr>
          <w:rStyle w:val="Ppogrubienie"/>
          <w:rFonts w:ascii="Arial" w:eastAsia="Calibri" w:hAnsi="Arial"/>
          <w:bCs w:val="0"/>
          <w:szCs w:val="24"/>
          <w:lang w:eastAsia="en-US"/>
        </w:rPr>
        <w:tab/>
      </w:r>
      <w:r w:rsidR="00F00497" w:rsidRPr="00A64429">
        <w:rPr>
          <w:rStyle w:val="Ppogrubienie"/>
          <w:rFonts w:ascii="Arial" w:eastAsia="Calibri" w:hAnsi="Arial"/>
          <w:bCs w:val="0"/>
          <w:szCs w:val="24"/>
          <w:lang w:eastAsia="en-US"/>
        </w:rPr>
        <w:t>Założenia podstawowych aktów wykonawczych</w:t>
      </w:r>
    </w:p>
    <w:p w14:paraId="627B425F" w14:textId="77777777" w:rsidR="00F00497" w:rsidRPr="00A64429" w:rsidRDefault="00F00497" w:rsidP="00A64429">
      <w:pPr>
        <w:pStyle w:val="PKTpunkt"/>
        <w:spacing w:after="120"/>
        <w:ind w:left="0" w:firstLine="708"/>
        <w:rPr>
          <w:rFonts w:ascii="Arial" w:hAnsi="Arial"/>
          <w:szCs w:val="24"/>
        </w:rPr>
      </w:pPr>
      <w:r w:rsidRPr="00A64429">
        <w:rPr>
          <w:rFonts w:ascii="Arial" w:hAnsi="Arial"/>
          <w:szCs w:val="24"/>
        </w:rPr>
        <w:t>Projektowana ustawa nie wymaga</w:t>
      </w:r>
      <w:r w:rsidR="00F00F99">
        <w:rPr>
          <w:rFonts w:ascii="Arial" w:hAnsi="Arial"/>
          <w:szCs w:val="24"/>
        </w:rPr>
        <w:t xml:space="preserve"> wydania</w:t>
      </w:r>
      <w:r w:rsidRPr="00A64429">
        <w:rPr>
          <w:rFonts w:ascii="Arial" w:hAnsi="Arial"/>
          <w:szCs w:val="24"/>
        </w:rPr>
        <w:t xml:space="preserve"> aktów wykonawczych.</w:t>
      </w:r>
    </w:p>
    <w:p w14:paraId="2DAE1C7E" w14:textId="77777777" w:rsidR="00F00497" w:rsidRPr="00A64429" w:rsidRDefault="00F00497" w:rsidP="00A64429">
      <w:pPr>
        <w:pStyle w:val="PKTpunkt"/>
        <w:spacing w:after="120"/>
        <w:ind w:left="0" w:firstLine="708"/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</w:pPr>
    </w:p>
    <w:p w14:paraId="0B87C96B" w14:textId="77777777" w:rsidR="00F00497" w:rsidRPr="00A64429" w:rsidRDefault="00505291" w:rsidP="00A64429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A64429">
        <w:rPr>
          <w:rStyle w:val="Ppogrubienie"/>
          <w:rFonts w:ascii="Arial" w:hAnsi="Arial"/>
          <w:szCs w:val="24"/>
        </w:rPr>
        <w:lastRenderedPageBreak/>
        <w:t>4</w:t>
      </w:r>
      <w:r w:rsidR="00F00497" w:rsidRPr="00A64429">
        <w:rPr>
          <w:rStyle w:val="Ppogrubienie"/>
          <w:rFonts w:ascii="Arial" w:hAnsi="Arial"/>
          <w:szCs w:val="24"/>
        </w:rPr>
        <w:t>.</w:t>
      </w:r>
      <w:r w:rsidR="00F00497" w:rsidRPr="00A64429">
        <w:rPr>
          <w:rStyle w:val="Ppogrubienie"/>
          <w:rFonts w:ascii="Arial" w:hAnsi="Arial"/>
          <w:szCs w:val="24"/>
        </w:rPr>
        <w:tab/>
        <w:t>Oświadczenie o zgodności projektu ustawy z prawem Unii Europejskiej</w:t>
      </w:r>
    </w:p>
    <w:p w14:paraId="7346D7D3" w14:textId="77777777" w:rsidR="00F00497" w:rsidRPr="00A64429" w:rsidRDefault="00F00497" w:rsidP="00A64429">
      <w:pPr>
        <w:pStyle w:val="NIEARTTEKSTtekstnieartykuowanynppodstprawnarozplubpreambua"/>
        <w:spacing w:before="0" w:after="120"/>
        <w:ind w:firstLine="708"/>
        <w:rPr>
          <w:rFonts w:ascii="Arial" w:hAnsi="Arial"/>
          <w:szCs w:val="24"/>
        </w:rPr>
      </w:pPr>
      <w:r w:rsidRPr="00A64429">
        <w:rPr>
          <w:rFonts w:ascii="Arial" w:hAnsi="Arial"/>
          <w:szCs w:val="24"/>
        </w:rPr>
        <w:t>Przedmiot projektowanej regulacji nie jest objęty prawem Unii Europejskiej.</w:t>
      </w:r>
    </w:p>
    <w:p w14:paraId="7FD29E34" w14:textId="77777777" w:rsidR="00563FDB" w:rsidRPr="00A64429" w:rsidRDefault="00563FDB" w:rsidP="00A64429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4E0C281A" w14:textId="77777777" w:rsidR="007E7A2B" w:rsidRPr="00A64429" w:rsidRDefault="007E7A2B" w:rsidP="00A64429">
      <w:pPr>
        <w:spacing w:line="360" w:lineRule="auto"/>
        <w:rPr>
          <w:rFonts w:ascii="Arial" w:hAnsi="Arial" w:cs="Arial"/>
          <w:sz w:val="24"/>
          <w:szCs w:val="24"/>
        </w:rPr>
      </w:pPr>
      <w:r w:rsidRPr="00A64429">
        <w:rPr>
          <w:rFonts w:ascii="Arial" w:hAnsi="Arial" w:cs="Arial"/>
          <w:sz w:val="24"/>
          <w:szCs w:val="24"/>
        </w:rPr>
        <w:br w:type="page"/>
      </w:r>
    </w:p>
    <w:p w14:paraId="436B46FC" w14:textId="77777777" w:rsidR="007E7A2B" w:rsidRDefault="007E7A2B" w:rsidP="00B500A0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DEKLAROWANE SKUTKI REGULACJI (DSR)</w:t>
      </w:r>
    </w:p>
    <w:p w14:paraId="058F0DB6" w14:textId="77777777" w:rsidR="007E7A2B" w:rsidRDefault="007E7A2B" w:rsidP="00B500A0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projektu ustawy</w:t>
      </w:r>
    </w:p>
    <w:p w14:paraId="5C0DC2A0" w14:textId="77777777" w:rsidR="007E7A2B" w:rsidRDefault="007E7A2B" w:rsidP="00B500A0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</w:p>
    <w:p w14:paraId="16F06738" w14:textId="77777777" w:rsidR="007E7A2B" w:rsidRDefault="007E7A2B" w:rsidP="00B500A0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</w:p>
    <w:p w14:paraId="1FB482D2" w14:textId="77777777" w:rsidR="007E7A2B" w:rsidRPr="007E7A2B" w:rsidRDefault="007E7A2B" w:rsidP="00B500A0">
      <w:pPr>
        <w:tabs>
          <w:tab w:val="left" w:pos="2834"/>
        </w:tabs>
        <w:spacing w:after="0" w:line="240" w:lineRule="auto"/>
        <w:rPr>
          <w:rFonts w:ascii="Arial" w:hAnsi="Arial" w:cs="Arial"/>
          <w:b/>
          <w:bCs/>
          <w:sz w:val="24"/>
        </w:rPr>
      </w:pPr>
      <w:r w:rsidRPr="007E7A2B">
        <w:rPr>
          <w:rFonts w:ascii="Arial" w:hAnsi="Arial" w:cs="Arial"/>
          <w:b/>
          <w:bCs/>
          <w:sz w:val="24"/>
        </w:rPr>
        <w:tab/>
      </w:r>
    </w:p>
    <w:p w14:paraId="6B0B83F5" w14:textId="77777777" w:rsidR="00B500A0" w:rsidRDefault="007E7A2B" w:rsidP="00B500A0">
      <w:pPr>
        <w:tabs>
          <w:tab w:val="left" w:pos="6290"/>
        </w:tabs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r w:rsidRPr="007E7A2B">
        <w:rPr>
          <w:rFonts w:ascii="Arial" w:hAnsi="Arial" w:cs="Arial"/>
          <w:b/>
          <w:bCs/>
          <w:sz w:val="24"/>
        </w:rPr>
        <w:t>Informacja o projekcie</w:t>
      </w:r>
    </w:p>
    <w:p w14:paraId="33D24DC2" w14:textId="77777777" w:rsidR="007E7A2B" w:rsidRPr="007E7A2B" w:rsidRDefault="007E7A2B" w:rsidP="00B500A0">
      <w:pPr>
        <w:tabs>
          <w:tab w:val="left" w:pos="6290"/>
        </w:tabs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r w:rsidRPr="007E7A2B">
        <w:rPr>
          <w:rFonts w:ascii="Arial" w:hAnsi="Arial" w:cs="Arial"/>
          <w:b/>
          <w:bCs/>
          <w:sz w:val="24"/>
        </w:rPr>
        <w:tab/>
      </w:r>
    </w:p>
    <w:p w14:paraId="25FDD9C7" w14:textId="77777777" w:rsidR="007E7A2B" w:rsidRPr="007E7A2B" w:rsidRDefault="007E7A2B" w:rsidP="00B500A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E7A2B">
        <w:rPr>
          <w:rFonts w:ascii="Arial" w:hAnsi="Arial" w:cs="Arial"/>
          <w:sz w:val="24"/>
          <w:szCs w:val="24"/>
        </w:rPr>
        <w:t>a) Tytuł projektu:</w:t>
      </w:r>
    </w:p>
    <w:tbl>
      <w:tblPr>
        <w:tblStyle w:val="Tabela-Siatka"/>
        <w:tblW w:w="9182" w:type="dxa"/>
        <w:tblLook w:val="04A0" w:firstRow="1" w:lastRow="0" w:firstColumn="1" w:lastColumn="0" w:noHBand="0" w:noVBand="1"/>
      </w:tblPr>
      <w:tblGrid>
        <w:gridCol w:w="9182"/>
      </w:tblGrid>
      <w:tr w:rsidR="007E7A2B" w:rsidRPr="007E7A2B" w14:paraId="39BE8E27" w14:textId="77777777" w:rsidTr="008D4BDB">
        <w:trPr>
          <w:trHeight w:val="410"/>
        </w:trPr>
        <w:tc>
          <w:tcPr>
            <w:tcW w:w="9182" w:type="dxa"/>
          </w:tcPr>
          <w:p w14:paraId="16987A04" w14:textId="77777777" w:rsidR="007E7A2B" w:rsidRPr="007E7A2B" w:rsidRDefault="007E7A2B" w:rsidP="00B500A0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74516121"/>
          </w:p>
          <w:p w14:paraId="728DB34E" w14:textId="77777777" w:rsidR="007E7A2B" w:rsidRPr="007E7A2B" w:rsidRDefault="007E7A2B" w:rsidP="00B500A0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A2B">
              <w:rPr>
                <w:rFonts w:ascii="Arial" w:hAnsi="Arial" w:cs="Arial"/>
                <w:sz w:val="20"/>
                <w:szCs w:val="20"/>
              </w:rPr>
              <w:t>Ustawa o zmianie ustawy o Trybunale Stanu</w:t>
            </w:r>
          </w:p>
          <w:p w14:paraId="4124BEF5" w14:textId="77777777" w:rsidR="007E7A2B" w:rsidRPr="007E7A2B" w:rsidRDefault="007E7A2B" w:rsidP="00B500A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bookmarkEnd w:id="0"/>
    </w:tbl>
    <w:p w14:paraId="5E603D24" w14:textId="77777777" w:rsidR="007E7A2B" w:rsidRPr="007E7A2B" w:rsidRDefault="007E7A2B" w:rsidP="00B500A0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14:paraId="2D167927" w14:textId="77777777" w:rsidR="007E7A2B" w:rsidRPr="007E7A2B" w:rsidRDefault="007E7A2B" w:rsidP="00B500A0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7E7A2B">
        <w:rPr>
          <w:rFonts w:ascii="Arial" w:eastAsia="Times New Roman" w:hAnsi="Arial" w:cs="Arial"/>
          <w:sz w:val="24"/>
          <w:szCs w:val="24"/>
        </w:rPr>
        <w:t>b) Przedstawiciel wnioskodawcy: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E7A2B" w:rsidRPr="007E7A2B" w14:paraId="62D03192" w14:textId="77777777" w:rsidTr="008D4BDB">
        <w:trPr>
          <w:trHeight w:val="671"/>
        </w:trPr>
        <w:tc>
          <w:tcPr>
            <w:tcW w:w="9209" w:type="dxa"/>
          </w:tcPr>
          <w:p w14:paraId="5232964C" w14:textId="77777777" w:rsidR="007E7A2B" w:rsidRPr="007E7A2B" w:rsidRDefault="007E7A2B" w:rsidP="00B500A0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BCC63C" w14:textId="4CA4B880" w:rsidR="007E7A2B" w:rsidRPr="007E7A2B" w:rsidRDefault="009C0E81" w:rsidP="00B500A0">
            <w:p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Marcin Józefaciuk</w:t>
            </w:r>
          </w:p>
          <w:p w14:paraId="5A0DE9D3" w14:textId="77777777" w:rsidR="007E7A2B" w:rsidRPr="007E7A2B" w:rsidRDefault="007E7A2B" w:rsidP="00B500A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80A99C9" w14:textId="77777777" w:rsidR="007E7A2B" w:rsidRPr="007E7A2B" w:rsidRDefault="007E7A2B" w:rsidP="00B500A0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79BA957F" w14:textId="77777777" w:rsidR="007E7A2B" w:rsidRPr="00B500A0" w:rsidRDefault="007E7A2B" w:rsidP="00B500A0">
      <w:pPr>
        <w:spacing w:after="0" w:line="240" w:lineRule="auto"/>
        <w:rPr>
          <w:rFonts w:ascii="Arial" w:hAnsi="Arial" w:cs="Arial"/>
          <w:b/>
          <w:sz w:val="24"/>
        </w:rPr>
      </w:pPr>
      <w:r w:rsidRPr="00B500A0">
        <w:rPr>
          <w:rFonts w:ascii="Arial" w:hAnsi="Arial" w:cs="Arial"/>
          <w:b/>
          <w:sz w:val="24"/>
        </w:rPr>
        <w:t>Część wstępna</w:t>
      </w:r>
    </w:p>
    <w:p w14:paraId="06063568" w14:textId="77777777" w:rsidR="00B500A0" w:rsidRPr="00B500A0" w:rsidRDefault="00B500A0" w:rsidP="00B500A0">
      <w:pPr>
        <w:spacing w:after="0" w:line="240" w:lineRule="auto"/>
        <w:rPr>
          <w:rFonts w:ascii="Arial" w:hAnsi="Arial" w:cs="Arial"/>
          <w:sz w:val="24"/>
        </w:rPr>
      </w:pPr>
    </w:p>
    <w:p w14:paraId="373B8B75" w14:textId="77777777" w:rsidR="007E7A2B" w:rsidRPr="007E7A2B" w:rsidRDefault="007E7A2B" w:rsidP="00B500A0">
      <w:pPr>
        <w:spacing w:after="0" w:line="240" w:lineRule="auto"/>
        <w:jc w:val="both"/>
        <w:rPr>
          <w:rFonts w:ascii="Arial" w:hAnsi="Arial" w:cs="Arial"/>
          <w:sz w:val="24"/>
        </w:rPr>
      </w:pPr>
      <w:r w:rsidRPr="007E7A2B">
        <w:rPr>
          <w:rFonts w:ascii="Arial" w:hAnsi="Arial" w:cs="Arial"/>
          <w:sz w:val="24"/>
        </w:rPr>
        <w:t>[1] Zwięzły opis zidentyfikowanego problemu i proponowanych rozwiązań.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7A2B" w:rsidRPr="00FF42A1" w14:paraId="48B48044" w14:textId="77777777" w:rsidTr="008D4BDB">
        <w:tc>
          <w:tcPr>
            <w:tcW w:w="9062" w:type="dxa"/>
          </w:tcPr>
          <w:p w14:paraId="0261D595" w14:textId="77777777" w:rsidR="007E7A2B" w:rsidRPr="00FF42A1" w:rsidRDefault="007E7A2B" w:rsidP="00B500A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42A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E4B72F1" w14:textId="77777777" w:rsidR="007E7A2B" w:rsidRPr="00FF42A1" w:rsidRDefault="007E7A2B" w:rsidP="00B500A0">
            <w:pPr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FF42A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Jaki problem jest rozwiązywany i jaka jest skala tego problemu.</w:t>
            </w:r>
          </w:p>
          <w:p w14:paraId="2FDE4990" w14:textId="77777777" w:rsidR="007E7A2B" w:rsidRPr="00FF42A1" w:rsidRDefault="00DF1354" w:rsidP="00B500A0">
            <w:pPr>
              <w:pStyle w:val="PKTpunkt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Zgodnie z art. 10 ust. 3 ustawy o ogłaszaniu aktów normatywnych i niektórych innych aktów prawnych istnieje obowiązek publikacji jedynie wyroków Trybunału Stanu, bez obowiązku publikacji uzasadnień.</w:t>
            </w:r>
          </w:p>
          <w:p w14:paraId="7DB8F2C6" w14:textId="77777777" w:rsidR="00FF42A1" w:rsidRDefault="00FF42A1" w:rsidP="00B500A0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3B46917D" w14:textId="3559EA24" w:rsidR="00FF42A1" w:rsidRPr="00FF42A1" w:rsidRDefault="00FF42A1" w:rsidP="00B500A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42A1">
              <w:rPr>
                <w:rFonts w:ascii="Arial" w:hAnsi="Arial"/>
                <w:sz w:val="20"/>
                <w:szCs w:val="20"/>
              </w:rPr>
              <w:t>Aktualna praktyka Trybunału Stanu wykracza poza wąskie obowiązki nało</w:t>
            </w:r>
            <w:r w:rsidR="00287C7C">
              <w:rPr>
                <w:rFonts w:ascii="Arial" w:hAnsi="Arial"/>
                <w:sz w:val="20"/>
                <w:szCs w:val="20"/>
              </w:rPr>
              <w:t>ż</w:t>
            </w:r>
            <w:r w:rsidRPr="00FF42A1">
              <w:rPr>
                <w:rFonts w:ascii="Arial" w:hAnsi="Arial"/>
                <w:sz w:val="20"/>
                <w:szCs w:val="20"/>
              </w:rPr>
              <w:t>one w przepisach, bowiem na stronie Trybunału Stanu opublikowane są, pomimo braku obowiązku publikacji, cztery postanowienia i jedna uchwała, wraz z uzasadnieniami i zdaniami odrębnymi.</w:t>
            </w:r>
          </w:p>
          <w:p w14:paraId="1D48301E" w14:textId="77777777" w:rsidR="00101F31" w:rsidRPr="00FF42A1" w:rsidRDefault="00DF1354" w:rsidP="00B500A0">
            <w:pPr>
              <w:pStyle w:val="PKTpunkt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Odmienne zasady zostały określone wobec orzeczeń Sądu Najwyższego i Trybunału Konstytucyjnego.</w:t>
            </w:r>
          </w:p>
          <w:p w14:paraId="756AC237" w14:textId="77777777" w:rsidR="00101F31" w:rsidRDefault="00DF1354" w:rsidP="00B500A0">
            <w:pPr>
              <w:pStyle w:val="PKTpunkt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Art. 8 ustawy o Sądzie Najwyższym stanowi, że: „Sąd Najwyższy niezwłocznie publikuje wydane przez siebie orzeczenie, a po sporządzeniu jego uzasadnienia – również uzasadnienie orzeczenia, w Biuletynie Informacji Publicznej na stronie podmiotowej Sądu Najwyższego. Z orzeczeniem lub jego uzasadnieniem publikuje się również zgłoszone zdanie odrębne wraz z jego uzasadnieniem.”. Podobne unormowanie w zakresie obowiązku publikacji orzeczeń znajduje się w art. 115 ustawy o organizacji i trybie postępowania przed Trybunałem Konstytucyjnym.</w:t>
            </w:r>
          </w:p>
          <w:p w14:paraId="1BA9B796" w14:textId="77777777" w:rsidR="005E2086" w:rsidRPr="005E2086" w:rsidRDefault="005E2086" w:rsidP="00B500A0">
            <w:pPr>
              <w:pStyle w:val="PKTpunkt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E2086">
              <w:rPr>
                <w:rFonts w:ascii="Arial" w:hAnsi="Arial"/>
                <w:sz w:val="20"/>
              </w:rPr>
              <w:t>Potrzeba uchwalenia projektowanej ustawy wynika z przekonania, że nie ma żadnego uzasadnienia merytorycznego, aby dostęp do orzeczeń Trybunału Stanu , uzasadnień i zgłoszonych zdań odrębnych był ograniczony. W demokratycznym państwie obywatele powinni mieć nieograniczony dostęp do tego typu treści, szczególnie biorąc pod uwagę, że Trybunał Stanu orzeka w sprawach naruszenia Konstytucji lub ustawy, w związku z zajmowanym stanowiskiem lub w zakresie swojego urzędowania przez osoby pełniące najważniejsze funkcje w państwie. Dlatego projektowana ustawa jest ważnym działaniem do zwiększenia przejrzystości życia publicznego i zwiększenia zaufania obywateli do państwa.</w:t>
            </w:r>
          </w:p>
          <w:p w14:paraId="58F4B5DB" w14:textId="77777777" w:rsidR="00FF42A1" w:rsidRPr="005E2086" w:rsidRDefault="00FF42A1" w:rsidP="00B500A0">
            <w:pPr>
              <w:pStyle w:val="PKTpunkt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</w:p>
          <w:p w14:paraId="3EF16D86" w14:textId="77777777" w:rsidR="007E7A2B" w:rsidRPr="00FF42A1" w:rsidRDefault="00DF1354" w:rsidP="00B500A0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</w:rPr>
              <w:t>Zwięzły opis proponowanych rozwiązań.</w:t>
            </w:r>
          </w:p>
          <w:p w14:paraId="4F0374C9" w14:textId="77777777" w:rsidR="00101F31" w:rsidRPr="00FF42A1" w:rsidRDefault="00DF1354" w:rsidP="00B500A0">
            <w:pPr>
              <w:pStyle w:val="PKTpunkt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Projektowana ustawa zawiera propozycję dodania w ustawie z dnia 26 marca 1982 r. o Trybunale Stanu nowego art. 20c, nakładającego na Trybunał Stanu obowiązek publikacji wydawanych orzeczeń i ich uzasadnień </w:t>
            </w:r>
            <w:r w:rsidR="005E2086">
              <w:rPr>
                <w:rFonts w:ascii="Arial" w:hAnsi="Arial"/>
                <w:sz w:val="20"/>
              </w:rPr>
              <w:t xml:space="preserve">a także zgłoszone zdania odrębne wraz z uzasadnieniami </w:t>
            </w:r>
            <w:r w:rsidR="00101F31" w:rsidRPr="00FF42A1">
              <w:rPr>
                <w:rFonts w:ascii="Arial" w:hAnsi="Arial"/>
                <w:sz w:val="20"/>
              </w:rPr>
              <w:t xml:space="preserve">w Biuletynie Informacji Publicznej na stronie podmiotowej Trybunału Stanu. Byłoby to więc rozwiązanie analogiczne do obecnego unormowania w odniesieniu do orzeczeń Trybunału Konstytucyjnego i Sądu Najwyższego. </w:t>
            </w:r>
          </w:p>
          <w:p w14:paraId="52A42B52" w14:textId="77777777" w:rsidR="00101F31" w:rsidRDefault="00DF1354" w:rsidP="00B500A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>Art. 2 projektowanej ustawy nakłada natomiast na Trybunał obowiązek publikacji orzeczeń wydanych przed wejściem w życie niniejszej ustawy wraz z uzasadnieniami</w:t>
            </w:r>
            <w:r w:rsidR="005E2086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 xml:space="preserve"> oraz zgłoszonymi zdaniami odrębnymi</w:t>
            </w:r>
            <w:r w:rsidR="00101F31" w:rsidRPr="00FF42A1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>.</w:t>
            </w:r>
          </w:p>
          <w:p w14:paraId="7F1EBCA1" w14:textId="77777777" w:rsidR="00824874" w:rsidRPr="00FF42A1" w:rsidRDefault="00824874" w:rsidP="00B500A0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pl-PL"/>
              </w:rPr>
            </w:pPr>
          </w:p>
          <w:p w14:paraId="59377681" w14:textId="77777777" w:rsidR="007E7A2B" w:rsidRPr="00FF42A1" w:rsidRDefault="00DF1354" w:rsidP="00B500A0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</w:rPr>
              <w:t>Skutki braku zmiany stanu obecnego.</w:t>
            </w:r>
          </w:p>
          <w:p w14:paraId="3FCA232E" w14:textId="7D20B9ED" w:rsidR="007E7A2B" w:rsidRPr="00FF42A1" w:rsidRDefault="00DF1354" w:rsidP="005E208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Ppogrubienie"/>
                <w:rFonts w:ascii="Arial" w:hAnsi="Arial"/>
                <w:b w:val="0"/>
                <w:sz w:val="20"/>
                <w:szCs w:val="20"/>
              </w:rPr>
              <w:t xml:space="preserve">Zasadniczym skutkiem społecznym i prawnym braku zmiany aktualnego stanu prawnego byłoby </w:t>
            </w:r>
            <w:r w:rsidR="005E2086">
              <w:rPr>
                <w:rStyle w:val="Ppogrubienie"/>
                <w:rFonts w:ascii="Arial" w:hAnsi="Arial"/>
                <w:b w:val="0"/>
                <w:sz w:val="20"/>
                <w:szCs w:val="20"/>
              </w:rPr>
              <w:t xml:space="preserve">utrzymywanie nieuzasadnionego stanu </w:t>
            </w:r>
            <w:r w:rsidR="00101F31" w:rsidRPr="00FF42A1">
              <w:rPr>
                <w:rStyle w:val="Ppogrubienie"/>
                <w:rFonts w:ascii="Arial" w:hAnsi="Arial"/>
                <w:b w:val="0"/>
                <w:sz w:val="20"/>
                <w:szCs w:val="20"/>
              </w:rPr>
              <w:t>ogranicz</w:t>
            </w:r>
            <w:r w:rsidR="00287C7C">
              <w:rPr>
                <w:rStyle w:val="Ppogrubienie"/>
                <w:rFonts w:ascii="Arial" w:hAnsi="Arial"/>
                <w:b w:val="0"/>
                <w:sz w:val="20"/>
                <w:szCs w:val="20"/>
              </w:rPr>
              <w:t>o</w:t>
            </w:r>
            <w:r w:rsidR="00101F31" w:rsidRPr="00FF42A1">
              <w:rPr>
                <w:rStyle w:val="Ppogrubienie"/>
                <w:rFonts w:ascii="Arial" w:hAnsi="Arial"/>
                <w:b w:val="0"/>
                <w:sz w:val="20"/>
                <w:szCs w:val="20"/>
              </w:rPr>
              <w:t>n</w:t>
            </w:r>
            <w:r w:rsidR="005E2086">
              <w:rPr>
                <w:rStyle w:val="Ppogrubienie"/>
                <w:rFonts w:ascii="Arial" w:hAnsi="Arial"/>
                <w:b w:val="0"/>
                <w:sz w:val="20"/>
                <w:szCs w:val="20"/>
              </w:rPr>
              <w:t>ego</w:t>
            </w:r>
            <w:r w:rsidR="00101F31" w:rsidRPr="00FF42A1">
              <w:rPr>
                <w:rStyle w:val="Ppogrubienie"/>
                <w:rFonts w:ascii="Arial" w:hAnsi="Arial"/>
                <w:b w:val="0"/>
                <w:sz w:val="20"/>
                <w:szCs w:val="20"/>
              </w:rPr>
              <w:t xml:space="preserve"> zaufania obywateli do </w:t>
            </w:r>
            <w:r w:rsidR="00925059" w:rsidRPr="00FF42A1">
              <w:rPr>
                <w:rStyle w:val="Ppogrubienie"/>
                <w:rFonts w:ascii="Arial" w:hAnsi="Arial"/>
                <w:b w:val="0"/>
                <w:sz w:val="20"/>
                <w:szCs w:val="20"/>
              </w:rPr>
              <w:t>p</w:t>
            </w:r>
            <w:r w:rsidR="00101F31" w:rsidRPr="00FF42A1">
              <w:rPr>
                <w:rStyle w:val="Ppogrubienie"/>
                <w:rFonts w:ascii="Arial" w:hAnsi="Arial"/>
                <w:b w:val="0"/>
                <w:sz w:val="20"/>
                <w:szCs w:val="20"/>
              </w:rPr>
              <w:t xml:space="preserve">aństwa oraz </w:t>
            </w:r>
            <w:r w:rsidR="005E2086">
              <w:rPr>
                <w:rStyle w:val="Ppogrubienie"/>
                <w:rFonts w:ascii="Arial" w:hAnsi="Arial"/>
                <w:b w:val="0"/>
                <w:sz w:val="20"/>
                <w:szCs w:val="20"/>
              </w:rPr>
              <w:t>brak przejrzystości i</w:t>
            </w:r>
            <w:r w:rsidR="00101F31" w:rsidRPr="00FF42A1">
              <w:rPr>
                <w:rStyle w:val="Ppogrubienie"/>
                <w:rFonts w:ascii="Arial" w:hAnsi="Arial"/>
                <w:b w:val="0"/>
                <w:sz w:val="20"/>
                <w:szCs w:val="20"/>
              </w:rPr>
              <w:t xml:space="preserve"> jawności </w:t>
            </w:r>
            <w:r w:rsidR="005E2086">
              <w:rPr>
                <w:rStyle w:val="Ppogrubienie"/>
                <w:rFonts w:ascii="Arial" w:hAnsi="Arial"/>
                <w:b w:val="0"/>
                <w:sz w:val="20"/>
                <w:szCs w:val="20"/>
              </w:rPr>
              <w:t xml:space="preserve">życia publicznego spowodowany brakiem </w:t>
            </w:r>
            <w:r w:rsidR="00101F31" w:rsidRPr="00FF42A1">
              <w:rPr>
                <w:rStyle w:val="Ppogrubienie"/>
                <w:rFonts w:ascii="Arial" w:hAnsi="Arial"/>
                <w:b w:val="0"/>
                <w:sz w:val="20"/>
                <w:szCs w:val="20"/>
              </w:rPr>
              <w:t xml:space="preserve">dostępności </w:t>
            </w:r>
            <w:r w:rsidR="005E2086">
              <w:rPr>
                <w:rStyle w:val="Ppogrubienie"/>
                <w:rFonts w:ascii="Arial" w:hAnsi="Arial"/>
                <w:b w:val="0"/>
                <w:sz w:val="20"/>
                <w:szCs w:val="20"/>
              </w:rPr>
              <w:t xml:space="preserve">obywateli do </w:t>
            </w:r>
            <w:r w:rsidR="00101F31" w:rsidRPr="00FF42A1">
              <w:rPr>
                <w:rStyle w:val="Ppogrubienie"/>
                <w:rFonts w:ascii="Arial" w:hAnsi="Arial"/>
                <w:b w:val="0"/>
                <w:sz w:val="20"/>
                <w:szCs w:val="20"/>
              </w:rPr>
              <w:t>orzeczeń Trybunału Stanu</w:t>
            </w:r>
            <w:r w:rsidR="00FE2FFF" w:rsidRPr="00FF42A1">
              <w:rPr>
                <w:rStyle w:val="Ppogrubienie"/>
                <w:rFonts w:ascii="Arial" w:hAnsi="Arial"/>
                <w:b w:val="0"/>
                <w:sz w:val="20"/>
                <w:szCs w:val="20"/>
              </w:rPr>
              <w:t xml:space="preserve"> wraz z uzasadnieniami.</w:t>
            </w:r>
          </w:p>
        </w:tc>
      </w:tr>
    </w:tbl>
    <w:p w14:paraId="4FA98166" w14:textId="77777777" w:rsidR="007E7A2B" w:rsidRPr="009C37AF" w:rsidRDefault="007E7A2B" w:rsidP="00B500A0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4D617F2" w14:textId="77777777" w:rsidR="007E7A2B" w:rsidRPr="009C37AF" w:rsidRDefault="007E7A2B" w:rsidP="00B500A0">
      <w:pPr>
        <w:spacing w:after="0" w:line="240" w:lineRule="auto"/>
        <w:jc w:val="both"/>
        <w:rPr>
          <w:rFonts w:ascii="Arial" w:hAnsi="Arial" w:cs="Arial"/>
          <w:sz w:val="24"/>
        </w:rPr>
      </w:pPr>
      <w:r w:rsidRPr="009C37AF">
        <w:rPr>
          <w:rFonts w:ascii="Arial" w:hAnsi="Arial" w:cs="Arial"/>
          <w:sz w:val="24"/>
        </w:rPr>
        <w:t>[2] Czy były rozważane rozwiązania alternatywne?</w:t>
      </w:r>
    </w:p>
    <w:p w14:paraId="14617C5A" w14:textId="77777777" w:rsidR="007E7A2B" w:rsidRPr="00AA5FA8" w:rsidRDefault="007E7A2B" w:rsidP="00B500A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AA5FA8">
        <w:rPr>
          <w:rFonts w:ascii="Arial" w:hAnsi="Arial" w:cs="Arial"/>
          <w:sz w:val="24"/>
        </w:rPr>
        <w:t>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7A2B" w14:paraId="13CD692E" w14:textId="77777777" w:rsidTr="008D4BDB">
        <w:tc>
          <w:tcPr>
            <w:tcW w:w="9062" w:type="dxa"/>
          </w:tcPr>
          <w:p w14:paraId="7AEC4F93" w14:textId="77777777" w:rsidR="00296435" w:rsidRDefault="00296435" w:rsidP="00B500A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_Hlk174441549"/>
          </w:p>
          <w:p w14:paraId="56B5B429" w14:textId="77777777" w:rsidR="007E7A2B" w:rsidRPr="00F20396" w:rsidRDefault="00101F31" w:rsidP="00B500A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0396">
              <w:rPr>
                <w:rFonts w:ascii="Arial" w:eastAsia="Times New Roman" w:hAnsi="Arial" w:cs="Arial"/>
                <w:sz w:val="20"/>
                <w:szCs w:val="20"/>
              </w:rPr>
              <w:t xml:space="preserve">Przedstawione w projektowanej ustawie </w:t>
            </w:r>
            <w:r w:rsidR="00FE2FFF">
              <w:rPr>
                <w:rFonts w:ascii="Arial" w:eastAsia="Times New Roman" w:hAnsi="Arial" w:cs="Arial"/>
                <w:sz w:val="20"/>
                <w:szCs w:val="20"/>
              </w:rPr>
              <w:t xml:space="preserve">rozwiązanie </w:t>
            </w:r>
            <w:r w:rsidRPr="00F20396">
              <w:rPr>
                <w:rFonts w:ascii="Arial" w:eastAsia="Times New Roman" w:hAnsi="Arial" w:cs="Arial"/>
                <w:sz w:val="20"/>
                <w:szCs w:val="20"/>
              </w:rPr>
              <w:t>jest jedynym możliwym w świetle już istniejących zbieżnych rozwiązań wobec orzeczeń Sądu Najwyższego i Trybunału Konstytucyjnego.</w:t>
            </w:r>
          </w:p>
        </w:tc>
      </w:tr>
      <w:bookmarkEnd w:id="1"/>
    </w:tbl>
    <w:p w14:paraId="4A48CCD9" w14:textId="77777777" w:rsidR="007E7A2B" w:rsidRDefault="007E7A2B" w:rsidP="00B500A0">
      <w:pPr>
        <w:spacing w:after="0" w:line="240" w:lineRule="auto"/>
        <w:rPr>
          <w:rFonts w:ascii="Arial" w:hAnsi="Arial" w:cs="Arial"/>
          <w:b/>
          <w:sz w:val="24"/>
        </w:rPr>
      </w:pPr>
    </w:p>
    <w:p w14:paraId="65E77114" w14:textId="77777777" w:rsidR="00296435" w:rsidRDefault="00296435" w:rsidP="00B500A0">
      <w:pPr>
        <w:spacing w:after="0" w:line="240" w:lineRule="auto"/>
        <w:rPr>
          <w:rFonts w:ascii="Arial" w:hAnsi="Arial" w:cs="Arial"/>
          <w:b/>
          <w:sz w:val="24"/>
        </w:rPr>
      </w:pPr>
    </w:p>
    <w:p w14:paraId="7AE9FAB5" w14:textId="77777777" w:rsidR="007E7A2B" w:rsidRDefault="007E7A2B" w:rsidP="00B500A0">
      <w:pPr>
        <w:spacing w:after="0" w:line="240" w:lineRule="auto"/>
        <w:rPr>
          <w:rFonts w:ascii="Arial" w:hAnsi="Arial" w:cs="Arial"/>
          <w:sz w:val="24"/>
        </w:rPr>
      </w:pPr>
      <w:r w:rsidRPr="009C37AF">
        <w:rPr>
          <w:rFonts w:ascii="Arial" w:hAnsi="Arial" w:cs="Arial"/>
          <w:b/>
          <w:sz w:val="24"/>
        </w:rPr>
        <w:t xml:space="preserve">II. </w:t>
      </w:r>
      <w:r>
        <w:rPr>
          <w:rFonts w:ascii="Arial" w:hAnsi="Arial" w:cs="Arial"/>
          <w:b/>
          <w:sz w:val="24"/>
        </w:rPr>
        <w:t>Wymogi określone w art. 34 ust. 2 pkt 3–5 regulaminu Sejmu</w:t>
      </w:r>
    </w:p>
    <w:p w14:paraId="7D43E7EA" w14:textId="77777777" w:rsidR="00B500A0" w:rsidRDefault="00B500A0" w:rsidP="00B500A0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124E715" w14:textId="77777777" w:rsidR="007E7A2B" w:rsidRDefault="007E7A2B" w:rsidP="00B500A0">
      <w:pPr>
        <w:spacing w:after="0" w:line="240" w:lineRule="auto"/>
        <w:jc w:val="both"/>
        <w:rPr>
          <w:rFonts w:ascii="Arial" w:hAnsi="Arial" w:cs="Arial"/>
          <w:sz w:val="24"/>
        </w:rPr>
      </w:pPr>
      <w:r w:rsidRPr="009C37AF">
        <w:rPr>
          <w:rFonts w:ascii="Arial" w:hAnsi="Arial" w:cs="Arial"/>
          <w:sz w:val="24"/>
        </w:rPr>
        <w:t xml:space="preserve">[3] Jakie są </w:t>
      </w:r>
      <w:r>
        <w:rPr>
          <w:rFonts w:ascii="Arial" w:hAnsi="Arial" w:cs="Arial"/>
          <w:sz w:val="24"/>
        </w:rPr>
        <w:t>przewidywane</w:t>
      </w:r>
      <w:r w:rsidRPr="009C37AF">
        <w:rPr>
          <w:rFonts w:ascii="Arial" w:hAnsi="Arial" w:cs="Arial"/>
          <w:sz w:val="24"/>
        </w:rPr>
        <w:t xml:space="preserve"> skutki prawne projektowanych rozwiązań?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7A2B" w14:paraId="65A8695D" w14:textId="77777777" w:rsidTr="008D4BDB">
        <w:tc>
          <w:tcPr>
            <w:tcW w:w="9062" w:type="dxa"/>
          </w:tcPr>
          <w:p w14:paraId="6FC1D9D5" w14:textId="77777777" w:rsidR="0042101E" w:rsidRDefault="0042101E" w:rsidP="00B500A0">
            <w:pPr>
              <w:jc w:val="both"/>
              <w:rPr>
                <w:rFonts w:ascii="Aptos" w:eastAsia="Times New Roman" w:hAnsi="Aptos"/>
                <w:sz w:val="20"/>
                <w:szCs w:val="20"/>
              </w:rPr>
            </w:pPr>
          </w:p>
          <w:p w14:paraId="7ACEABF9" w14:textId="77777777" w:rsidR="007E7A2B" w:rsidRPr="00A37764" w:rsidRDefault="00F20396" w:rsidP="005E208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7764">
              <w:rPr>
                <w:rFonts w:ascii="Arial" w:eastAsia="Times New Roman" w:hAnsi="Arial" w:cs="Arial"/>
                <w:sz w:val="20"/>
                <w:szCs w:val="20"/>
              </w:rPr>
              <w:t>Projektowana ustawa zapewni spójną koncepcję dostępu do orzeczeń Sądu Najwyższego, Trybunału Konstytucyjnego i Trybunału Stanu</w:t>
            </w:r>
            <w:r w:rsidR="005E2086" w:rsidRPr="00A377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E2086" w:rsidRPr="00A37764">
              <w:rPr>
                <w:rStyle w:val="Ppogrubienie"/>
                <w:rFonts w:ascii="Arial" w:hAnsi="Arial" w:cs="Arial"/>
                <w:b w:val="0"/>
                <w:sz w:val="20"/>
                <w:szCs w:val="20"/>
              </w:rPr>
              <w:t>a w konsekwencji zwiększenie zaufania obywateli do państwa, poprawę przejrzystości i jawności życia publicznego.</w:t>
            </w:r>
          </w:p>
        </w:tc>
      </w:tr>
    </w:tbl>
    <w:p w14:paraId="08DF0302" w14:textId="77777777" w:rsidR="007E7A2B" w:rsidRPr="009C37AF" w:rsidRDefault="007E7A2B" w:rsidP="00B500A0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E831E9E" w14:textId="77777777" w:rsidR="007E7A2B" w:rsidRDefault="007E7A2B" w:rsidP="00B500A0">
      <w:pPr>
        <w:spacing w:after="0" w:line="240" w:lineRule="auto"/>
        <w:jc w:val="both"/>
        <w:rPr>
          <w:rFonts w:ascii="Arial" w:hAnsi="Arial" w:cs="Arial"/>
          <w:sz w:val="24"/>
        </w:rPr>
      </w:pPr>
      <w:r w:rsidRPr="009C37AF">
        <w:rPr>
          <w:rFonts w:ascii="Arial" w:hAnsi="Arial" w:cs="Arial"/>
          <w:sz w:val="24"/>
        </w:rPr>
        <w:t xml:space="preserve">[4] Jakie są </w:t>
      </w:r>
      <w:bookmarkStart w:id="2" w:name="_Hlk174443131"/>
      <w:r>
        <w:rPr>
          <w:rFonts w:ascii="Arial" w:hAnsi="Arial" w:cs="Arial"/>
          <w:sz w:val="24"/>
        </w:rPr>
        <w:t>przewidywane</w:t>
      </w:r>
      <w:bookmarkEnd w:id="2"/>
      <w:r w:rsidRPr="009C37AF">
        <w:rPr>
          <w:rFonts w:ascii="Arial" w:hAnsi="Arial" w:cs="Arial"/>
          <w:sz w:val="24"/>
        </w:rPr>
        <w:t xml:space="preserve"> skutki społeczne projektowanych rozwiązań?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7A2B" w:rsidRPr="00E91DF0" w14:paraId="76A9DF92" w14:textId="77777777" w:rsidTr="008D4BDB">
        <w:tc>
          <w:tcPr>
            <w:tcW w:w="9062" w:type="dxa"/>
          </w:tcPr>
          <w:p w14:paraId="373A8AC3" w14:textId="77777777" w:rsidR="0042101E" w:rsidRDefault="0042101E" w:rsidP="00A84050">
            <w:pPr>
              <w:pStyle w:val="PKTpunkt"/>
              <w:spacing w:line="240" w:lineRule="auto"/>
              <w:ind w:left="0" w:firstLine="0"/>
              <w:rPr>
                <w:rStyle w:val="Ppogrubienie"/>
                <w:rFonts w:ascii="Arial" w:eastAsia="Calibri" w:hAnsi="Arial"/>
                <w:b w:val="0"/>
                <w:bCs w:val="0"/>
                <w:sz w:val="20"/>
                <w:lang w:eastAsia="en-US"/>
              </w:rPr>
            </w:pPr>
          </w:p>
          <w:p w14:paraId="5BEA1BF3" w14:textId="77777777" w:rsidR="00F20396" w:rsidRPr="00B500A0" w:rsidRDefault="00F20396" w:rsidP="00A84050">
            <w:pPr>
              <w:pStyle w:val="PKTpunkt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B500A0">
              <w:rPr>
                <w:rStyle w:val="Ppogrubienie"/>
                <w:rFonts w:ascii="Arial" w:eastAsia="Calibri" w:hAnsi="Arial"/>
                <w:b w:val="0"/>
                <w:bCs w:val="0"/>
                <w:sz w:val="20"/>
                <w:lang w:eastAsia="en-US"/>
              </w:rPr>
              <w:t xml:space="preserve">Zasadniczym skutkiem społecznym projektowanej ustawy będzie zwiększenie zaufania obywateli do </w:t>
            </w:r>
            <w:r w:rsidR="00925059">
              <w:rPr>
                <w:rStyle w:val="Ppogrubienie"/>
                <w:rFonts w:ascii="Arial" w:eastAsia="Calibri" w:hAnsi="Arial"/>
                <w:b w:val="0"/>
                <w:bCs w:val="0"/>
                <w:sz w:val="20"/>
                <w:lang w:eastAsia="en-US"/>
              </w:rPr>
              <w:t>p</w:t>
            </w:r>
            <w:r w:rsidRPr="00B500A0">
              <w:rPr>
                <w:rStyle w:val="Ppogrubienie"/>
                <w:rFonts w:ascii="Arial" w:eastAsia="Calibri" w:hAnsi="Arial"/>
                <w:b w:val="0"/>
                <w:bCs w:val="0"/>
                <w:sz w:val="20"/>
                <w:lang w:eastAsia="en-US"/>
              </w:rPr>
              <w:t xml:space="preserve">aństwa </w:t>
            </w:r>
            <w:r w:rsidR="00925059">
              <w:rPr>
                <w:rStyle w:val="Ppogrubienie"/>
                <w:rFonts w:ascii="Arial" w:eastAsia="Calibri" w:hAnsi="Arial"/>
                <w:b w:val="0"/>
                <w:bCs w:val="0"/>
                <w:sz w:val="20"/>
                <w:lang w:eastAsia="en-US"/>
              </w:rPr>
              <w:t>d</w:t>
            </w:r>
            <w:r w:rsidR="00925059">
              <w:rPr>
                <w:rStyle w:val="Ppogrubienie"/>
                <w:rFonts w:eastAsia="Calibri"/>
                <w:sz w:val="20"/>
              </w:rPr>
              <w:t>zięki</w:t>
            </w:r>
            <w:r w:rsidRPr="00B500A0">
              <w:rPr>
                <w:rStyle w:val="Ppogrubienie"/>
                <w:rFonts w:ascii="Arial" w:eastAsia="Calibri" w:hAnsi="Arial"/>
                <w:b w:val="0"/>
                <w:bCs w:val="0"/>
                <w:sz w:val="20"/>
                <w:lang w:eastAsia="en-US"/>
              </w:rPr>
              <w:t xml:space="preserve"> wprowadzeni</w:t>
            </w:r>
            <w:r w:rsidR="00925059">
              <w:rPr>
                <w:rStyle w:val="Ppogrubienie"/>
                <w:rFonts w:ascii="Arial" w:eastAsia="Calibri" w:hAnsi="Arial"/>
                <w:b w:val="0"/>
                <w:bCs w:val="0"/>
                <w:sz w:val="20"/>
                <w:lang w:eastAsia="en-US"/>
              </w:rPr>
              <w:t>u</w:t>
            </w:r>
            <w:r w:rsidRPr="00B500A0">
              <w:rPr>
                <w:rStyle w:val="Ppogrubienie"/>
                <w:rFonts w:ascii="Arial" w:eastAsia="Calibri" w:hAnsi="Arial"/>
                <w:b w:val="0"/>
                <w:bCs w:val="0"/>
                <w:sz w:val="20"/>
                <w:lang w:eastAsia="en-US"/>
              </w:rPr>
              <w:t xml:space="preserve"> zasady pełnej jawności i dostępności orzeczeń Trybunału Stanu. </w:t>
            </w:r>
            <w:r w:rsidR="00925059">
              <w:rPr>
                <w:rStyle w:val="Ppogrubienie"/>
                <w:rFonts w:ascii="Arial" w:eastAsia="Calibri" w:hAnsi="Arial"/>
                <w:b w:val="0"/>
                <w:bCs w:val="0"/>
                <w:sz w:val="20"/>
                <w:lang w:eastAsia="en-US"/>
              </w:rPr>
              <w:t>P</w:t>
            </w:r>
            <w:r w:rsidR="00925059">
              <w:rPr>
                <w:rStyle w:val="Ppogrubienie"/>
                <w:rFonts w:eastAsia="Calibri"/>
                <w:sz w:val="20"/>
              </w:rPr>
              <w:t xml:space="preserve">onadto, </w:t>
            </w:r>
            <w:r w:rsidR="00925059">
              <w:rPr>
                <w:rStyle w:val="Ppogrubienie"/>
                <w:rFonts w:ascii="Arial" w:eastAsia="Calibri" w:hAnsi="Arial"/>
                <w:b w:val="0"/>
                <w:bCs w:val="0"/>
                <w:sz w:val="20"/>
                <w:lang w:eastAsia="en-US"/>
              </w:rPr>
              <w:t>j</w:t>
            </w:r>
            <w:r w:rsidRPr="00B500A0">
              <w:rPr>
                <w:rStyle w:val="Ppogrubienie"/>
                <w:rFonts w:ascii="Arial" w:eastAsia="Calibri" w:hAnsi="Arial"/>
                <w:b w:val="0"/>
                <w:bCs w:val="0"/>
                <w:sz w:val="20"/>
                <w:lang w:eastAsia="en-US"/>
              </w:rPr>
              <w:t xml:space="preserve">ak słusznie wskazał autor petycji, </w:t>
            </w:r>
            <w:r w:rsidRPr="00B500A0">
              <w:rPr>
                <w:rFonts w:ascii="Arial" w:hAnsi="Arial"/>
                <w:sz w:val="20"/>
              </w:rPr>
              <w:t>„obowiązek publikacji wszystkich orzeczeń Trybunału Stanu będzie miał pozytywny wpływ – dzięki temu doktryna prawa konstytucyjnego oraz prawa karnego uzyska cenny materiał, przydatny w działalności naukowej. Opinia publiczna będzie mogła zapoznać się szczegółowo z działalnością Trybunału Stanu”.</w:t>
            </w:r>
          </w:p>
          <w:p w14:paraId="3F3F3390" w14:textId="77777777" w:rsidR="007E7A2B" w:rsidRPr="00AA5FA8" w:rsidRDefault="00F20396" w:rsidP="005E2086">
            <w:pPr>
              <w:pStyle w:val="PKTpunkt"/>
              <w:spacing w:line="240" w:lineRule="auto"/>
              <w:ind w:left="0" w:firstLine="0"/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B500A0">
              <w:rPr>
                <w:rFonts w:ascii="Arial" w:hAnsi="Arial"/>
                <w:sz w:val="20"/>
              </w:rPr>
              <w:t>Krąg podmiotów które odczują pozytywne skutki projektowanej ustawy</w:t>
            </w:r>
            <w:r w:rsidR="00925059">
              <w:rPr>
                <w:rFonts w:ascii="Arial" w:hAnsi="Arial"/>
                <w:sz w:val="20"/>
              </w:rPr>
              <w:t>,</w:t>
            </w:r>
            <w:r w:rsidRPr="00B500A0">
              <w:rPr>
                <w:rFonts w:ascii="Arial" w:hAnsi="Arial"/>
                <w:sz w:val="20"/>
              </w:rPr>
              <w:t xml:space="preserve"> jest </w:t>
            </w:r>
            <w:r w:rsidR="005E2086">
              <w:rPr>
                <w:rFonts w:ascii="Arial" w:hAnsi="Arial"/>
                <w:sz w:val="20"/>
              </w:rPr>
              <w:t>duży bardzo szeroki</w:t>
            </w:r>
            <w:r w:rsidRPr="00B500A0">
              <w:rPr>
                <w:rFonts w:ascii="Arial" w:hAnsi="Arial"/>
                <w:sz w:val="20"/>
              </w:rPr>
              <w:t xml:space="preserve">, obejmuje </w:t>
            </w:r>
            <w:r w:rsidR="005E2086">
              <w:rPr>
                <w:rFonts w:ascii="Arial" w:hAnsi="Arial"/>
                <w:sz w:val="20"/>
              </w:rPr>
              <w:t>nie tylko</w:t>
            </w:r>
            <w:r w:rsidR="005E2086" w:rsidRPr="00B500A0">
              <w:rPr>
                <w:rFonts w:ascii="Arial" w:hAnsi="Arial"/>
                <w:sz w:val="20"/>
              </w:rPr>
              <w:t xml:space="preserve"> </w:t>
            </w:r>
            <w:r w:rsidRPr="00B500A0">
              <w:rPr>
                <w:rFonts w:ascii="Arial" w:hAnsi="Arial"/>
                <w:sz w:val="20"/>
              </w:rPr>
              <w:t>osoby mające istotny wpływ na kształtowanie systemu prawnego (przede wszystkim osoby wykonujące zawody prawnicze oraz dziennikarze</w:t>
            </w:r>
            <w:r w:rsidR="005E2086">
              <w:rPr>
                <w:rFonts w:ascii="Arial" w:hAnsi="Arial"/>
                <w:sz w:val="20"/>
              </w:rPr>
              <w:t>, ale potencjalnie wszystkich obywateli</w:t>
            </w:r>
            <w:r w:rsidRPr="00B500A0">
              <w:rPr>
                <w:rFonts w:ascii="Arial" w:hAnsi="Arial"/>
                <w:sz w:val="20"/>
              </w:rPr>
              <w:t>).</w:t>
            </w:r>
            <w:r w:rsidR="007E7A2B" w:rsidRPr="00E91DF0">
              <w:rPr>
                <w:rFonts w:ascii="Arial" w:hAnsi="Arial"/>
                <w:color w:val="808080" w:themeColor="background1" w:themeShade="80"/>
                <w:sz w:val="20"/>
              </w:rPr>
              <w:t xml:space="preserve"> </w:t>
            </w:r>
          </w:p>
        </w:tc>
      </w:tr>
    </w:tbl>
    <w:p w14:paraId="6DF2D015" w14:textId="77777777" w:rsidR="007E7A2B" w:rsidRDefault="007E7A2B" w:rsidP="00B500A0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725B323" w14:textId="77777777" w:rsidR="007E7A2B" w:rsidRDefault="007E7A2B" w:rsidP="00B500A0">
      <w:pPr>
        <w:spacing w:after="0" w:line="240" w:lineRule="auto"/>
        <w:jc w:val="both"/>
        <w:rPr>
          <w:rFonts w:ascii="Arial" w:hAnsi="Arial" w:cs="Arial"/>
          <w:sz w:val="24"/>
        </w:rPr>
      </w:pPr>
      <w:r w:rsidRPr="009C37AF">
        <w:rPr>
          <w:rFonts w:ascii="Arial" w:hAnsi="Arial" w:cs="Arial"/>
          <w:sz w:val="24"/>
        </w:rPr>
        <w:t xml:space="preserve">[5] Jakie są </w:t>
      </w:r>
      <w:r>
        <w:rPr>
          <w:rFonts w:ascii="Arial" w:hAnsi="Arial" w:cs="Arial"/>
          <w:sz w:val="24"/>
        </w:rPr>
        <w:t>przewidywane</w:t>
      </w:r>
      <w:r w:rsidRPr="009C37AF">
        <w:rPr>
          <w:rFonts w:ascii="Arial" w:hAnsi="Arial" w:cs="Arial"/>
          <w:sz w:val="24"/>
        </w:rPr>
        <w:t xml:space="preserve"> skutki gospodarcze projektowanych rozwiązań?</w:t>
      </w:r>
    </w:p>
    <w:p w14:paraId="1C5602C9" w14:textId="77777777" w:rsidR="0042101E" w:rsidRDefault="0042101E" w:rsidP="00B500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Ppogrubienie"/>
          <w:rFonts w:ascii="Arial" w:hAnsi="Arial"/>
          <w:b w:val="0"/>
          <w:szCs w:val="24"/>
        </w:rPr>
      </w:pPr>
    </w:p>
    <w:p w14:paraId="2AB58DEC" w14:textId="77777777" w:rsidR="00B500A0" w:rsidRPr="00A37764" w:rsidRDefault="00B500A0" w:rsidP="00B500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A37764">
        <w:rPr>
          <w:rStyle w:val="Ppogrubienie"/>
          <w:rFonts w:ascii="Arial" w:hAnsi="Arial"/>
          <w:b w:val="0"/>
          <w:sz w:val="20"/>
          <w:szCs w:val="20"/>
        </w:rPr>
        <w:t>Projektowana ustawa nie wywoła skutków gospodarczych, nie będzie miała wpływu na działalność podmiotów gospodarczych. W dobie rozwiniętych narzędzi komunikacji elektronicznej publikacja orzeczenia zajmuje chwilę</w:t>
      </w:r>
      <w:r w:rsidR="00925059" w:rsidRPr="00A37764">
        <w:rPr>
          <w:rStyle w:val="Ppogrubienie"/>
          <w:rFonts w:ascii="Arial" w:hAnsi="Arial"/>
          <w:b w:val="0"/>
          <w:sz w:val="20"/>
          <w:szCs w:val="20"/>
        </w:rPr>
        <w:t>,</w:t>
      </w:r>
      <w:r w:rsidRPr="00A37764">
        <w:rPr>
          <w:rStyle w:val="Ppogrubienie"/>
          <w:rFonts w:ascii="Arial" w:hAnsi="Arial"/>
          <w:b w:val="0"/>
          <w:sz w:val="20"/>
          <w:szCs w:val="20"/>
        </w:rPr>
        <w:t xml:space="preserve"> a ponieważ czynność taka nie wymaga specjalistycznej wiedzy, może być wykonana przez szerokie grono pracowników, także niższego szczebla</w:t>
      </w:r>
      <w:r w:rsidR="00925059" w:rsidRPr="00A37764">
        <w:rPr>
          <w:rStyle w:val="Ppogrubienie"/>
          <w:rFonts w:ascii="Arial" w:hAnsi="Arial"/>
          <w:b w:val="0"/>
          <w:sz w:val="20"/>
          <w:szCs w:val="20"/>
        </w:rPr>
        <w:t>,</w:t>
      </w:r>
      <w:r w:rsidR="001F5251" w:rsidRPr="00A37764">
        <w:rPr>
          <w:rStyle w:val="Ppogrubienie"/>
          <w:rFonts w:ascii="Arial" w:hAnsi="Arial"/>
          <w:b w:val="0"/>
          <w:sz w:val="20"/>
          <w:szCs w:val="20"/>
        </w:rPr>
        <w:t xml:space="preserve"> w ramach dotychczasowych obowiązków zawodowych.</w:t>
      </w:r>
    </w:p>
    <w:p w14:paraId="1212535B" w14:textId="77777777" w:rsidR="00B500A0" w:rsidRDefault="00B500A0" w:rsidP="00B500A0">
      <w:pPr>
        <w:spacing w:after="0" w:line="240" w:lineRule="auto"/>
        <w:jc w:val="both"/>
        <w:rPr>
          <w:rFonts w:ascii="Arial" w:hAnsi="Arial" w:cs="Arial"/>
          <w:sz w:val="24"/>
        </w:rPr>
      </w:pPr>
      <w:r w:rsidRPr="009C37AF">
        <w:rPr>
          <w:rFonts w:ascii="Arial" w:hAnsi="Arial" w:cs="Arial"/>
          <w:sz w:val="24"/>
        </w:rPr>
        <w:t xml:space="preserve"> </w:t>
      </w:r>
    </w:p>
    <w:p w14:paraId="64147B82" w14:textId="77777777" w:rsidR="007E7A2B" w:rsidRDefault="007E7A2B" w:rsidP="00B500A0">
      <w:pPr>
        <w:spacing w:after="0" w:line="240" w:lineRule="auto"/>
        <w:jc w:val="both"/>
        <w:rPr>
          <w:rFonts w:ascii="Arial" w:hAnsi="Arial" w:cs="Arial"/>
          <w:sz w:val="24"/>
        </w:rPr>
      </w:pPr>
      <w:r w:rsidRPr="009C37AF">
        <w:rPr>
          <w:rFonts w:ascii="Arial" w:hAnsi="Arial" w:cs="Arial"/>
          <w:sz w:val="24"/>
        </w:rPr>
        <w:t xml:space="preserve">[6] </w:t>
      </w:r>
      <w:r w:rsidRPr="00295B4F">
        <w:rPr>
          <w:rFonts w:ascii="Arial" w:hAnsi="Arial" w:cs="Arial"/>
          <w:sz w:val="24"/>
        </w:rPr>
        <w:t xml:space="preserve">Jakie są </w:t>
      </w:r>
      <w:r w:rsidRPr="00226094">
        <w:rPr>
          <w:rFonts w:ascii="Arial" w:hAnsi="Arial" w:cs="Arial"/>
          <w:sz w:val="24"/>
        </w:rPr>
        <w:t>przewidywane</w:t>
      </w:r>
      <w:r w:rsidRPr="00295B4F">
        <w:rPr>
          <w:rFonts w:ascii="Arial" w:hAnsi="Arial" w:cs="Arial"/>
          <w:sz w:val="24"/>
        </w:rPr>
        <w:t xml:space="preserve"> skutki finansowe projektowanych rozwiązań, w</w:t>
      </w:r>
      <w:r>
        <w:rPr>
          <w:rFonts w:ascii="Arial" w:hAnsi="Arial" w:cs="Arial"/>
          <w:sz w:val="24"/>
        </w:rPr>
        <w:t> </w:t>
      </w:r>
      <w:r w:rsidRPr="00295B4F">
        <w:rPr>
          <w:rFonts w:ascii="Arial" w:hAnsi="Arial" w:cs="Arial"/>
          <w:sz w:val="24"/>
        </w:rPr>
        <w:t xml:space="preserve">szczególności wpływ na sektor finansów publicznych, w tym na budżet państwa </w:t>
      </w:r>
      <w:r>
        <w:rPr>
          <w:rFonts w:ascii="Arial" w:hAnsi="Arial" w:cs="Arial"/>
          <w:sz w:val="24"/>
        </w:rPr>
        <w:t>i </w:t>
      </w:r>
      <w:r w:rsidRPr="00295B4F">
        <w:rPr>
          <w:rFonts w:ascii="Arial" w:hAnsi="Arial" w:cs="Arial"/>
          <w:sz w:val="24"/>
        </w:rPr>
        <w:t>budżety jednostek samorządu terytorialnego?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7A2B" w:rsidRPr="00A84050" w14:paraId="578541CD" w14:textId="77777777" w:rsidTr="008D4BDB">
        <w:tc>
          <w:tcPr>
            <w:tcW w:w="9062" w:type="dxa"/>
          </w:tcPr>
          <w:p w14:paraId="00D325F0" w14:textId="77777777" w:rsidR="0042101E" w:rsidRDefault="0042101E" w:rsidP="00A84050">
            <w:pPr>
              <w:jc w:val="both"/>
              <w:rPr>
                <w:rStyle w:val="Ppogrubienie"/>
                <w:rFonts w:ascii="Arial" w:hAnsi="Arial"/>
                <w:b w:val="0"/>
                <w:szCs w:val="24"/>
              </w:rPr>
            </w:pPr>
          </w:p>
          <w:p w14:paraId="3F631765" w14:textId="77777777" w:rsidR="007E7A2B" w:rsidRPr="00A37764" w:rsidRDefault="00B500A0" w:rsidP="001F52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7764">
              <w:rPr>
                <w:rStyle w:val="Ppogrubienie"/>
                <w:rFonts w:ascii="Arial" w:hAnsi="Arial"/>
                <w:b w:val="0"/>
                <w:sz w:val="20"/>
                <w:szCs w:val="20"/>
              </w:rPr>
              <w:t xml:space="preserve">Projektowana ustawa nie wywoła skutków finansowych </w:t>
            </w:r>
            <w:r w:rsidR="007E7A2B" w:rsidRPr="00A37764">
              <w:rPr>
                <w:rFonts w:ascii="Arial" w:hAnsi="Arial" w:cs="Arial"/>
                <w:sz w:val="20"/>
                <w:szCs w:val="20"/>
              </w:rPr>
              <w:t>dla sektora finansów publicznych.</w:t>
            </w:r>
          </w:p>
        </w:tc>
      </w:tr>
    </w:tbl>
    <w:p w14:paraId="2E3A3F0C" w14:textId="77777777" w:rsidR="007E7A2B" w:rsidRPr="009C37AF" w:rsidRDefault="007E7A2B" w:rsidP="00B500A0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B918694" w14:textId="77777777" w:rsidR="007E7A2B" w:rsidRDefault="007E7A2B" w:rsidP="00B500A0">
      <w:pPr>
        <w:spacing w:after="0" w:line="240" w:lineRule="auto"/>
        <w:jc w:val="both"/>
        <w:rPr>
          <w:rFonts w:ascii="Arial" w:hAnsi="Arial" w:cs="Arial"/>
          <w:sz w:val="24"/>
        </w:rPr>
      </w:pPr>
      <w:r w:rsidRPr="009C37AF">
        <w:rPr>
          <w:rFonts w:ascii="Arial" w:hAnsi="Arial" w:cs="Arial"/>
          <w:sz w:val="24"/>
        </w:rPr>
        <w:t>[7] Wykaz źródeł finansowania, jeśli projekt ustawy pociąga za sobą obciążenie budżetu państwa lub budżetów jednostek samorządu terytorialnego</w:t>
      </w:r>
      <w:r>
        <w:rPr>
          <w:rFonts w:ascii="Arial" w:hAnsi="Arial" w:cs="Arial"/>
          <w:sz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7A2B" w14:paraId="25D072BF" w14:textId="77777777" w:rsidTr="008D4BDB">
        <w:tc>
          <w:tcPr>
            <w:tcW w:w="9062" w:type="dxa"/>
          </w:tcPr>
          <w:p w14:paraId="68E49FB9" w14:textId="77777777" w:rsidR="007E7A2B" w:rsidRDefault="00B500A0" w:rsidP="001F5251">
            <w:pPr>
              <w:jc w:val="both"/>
              <w:rPr>
                <w:rFonts w:ascii="Arial" w:hAnsi="Arial" w:cs="Arial"/>
                <w:sz w:val="24"/>
              </w:rPr>
            </w:pPr>
            <w:r w:rsidRPr="00A84050">
              <w:rPr>
                <w:rFonts w:ascii="Arial" w:hAnsi="Arial" w:cs="Arial"/>
                <w:sz w:val="20"/>
                <w:szCs w:val="20"/>
              </w:rPr>
              <w:t>P</w:t>
            </w:r>
            <w:r w:rsidR="007E7A2B" w:rsidRPr="00A84050">
              <w:rPr>
                <w:rFonts w:ascii="Arial" w:hAnsi="Arial" w:cs="Arial"/>
                <w:sz w:val="20"/>
                <w:szCs w:val="20"/>
              </w:rPr>
              <w:t xml:space="preserve">rojekt </w:t>
            </w:r>
            <w:r w:rsidRPr="00A84050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="007E7A2B" w:rsidRPr="00A84050">
              <w:rPr>
                <w:rFonts w:ascii="Arial" w:hAnsi="Arial" w:cs="Arial"/>
                <w:sz w:val="20"/>
                <w:szCs w:val="20"/>
              </w:rPr>
              <w:t xml:space="preserve">pociąga za sobą obciążenie budżetu państwa lub budżetów jednostek samorządu terytorialnego polegające na zwiększeniu wydatków lub zmniejszeniu dochodów, w porównaniu do </w:t>
            </w:r>
            <w:r w:rsidR="007E7A2B" w:rsidRPr="00296435">
              <w:rPr>
                <w:rFonts w:ascii="Arial" w:hAnsi="Arial" w:cs="Arial"/>
                <w:sz w:val="20"/>
                <w:szCs w:val="20"/>
              </w:rPr>
              <w:t>aktualnie obowiązujących wielkości</w:t>
            </w:r>
            <w:r w:rsidRPr="002964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8CECA80" w14:textId="77777777" w:rsidR="007E7A2B" w:rsidRPr="009C37AF" w:rsidRDefault="007E7A2B" w:rsidP="00B500A0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03B646C" w14:textId="77777777" w:rsidR="007E7A2B" w:rsidRPr="009C37AF" w:rsidRDefault="007E7A2B" w:rsidP="00B500A0">
      <w:pPr>
        <w:spacing w:after="0" w:line="240" w:lineRule="auto"/>
        <w:rPr>
          <w:rFonts w:ascii="Arial" w:hAnsi="Arial" w:cs="Arial"/>
          <w:sz w:val="24"/>
        </w:rPr>
      </w:pPr>
      <w:r w:rsidRPr="009C37AF">
        <w:rPr>
          <w:rFonts w:ascii="Arial" w:hAnsi="Arial" w:cs="Arial"/>
          <w:sz w:val="24"/>
        </w:rPr>
        <w:t>[8] Czy projekt ustawy podlega procedurze notyfikacyjnej?</w:t>
      </w:r>
      <w:r>
        <w:rPr>
          <w:rFonts w:ascii="Arial" w:hAnsi="Arial" w:cs="Arial"/>
          <w:sz w:val="24"/>
        </w:rPr>
        <w:t xml:space="preserve"> </w:t>
      </w:r>
    </w:p>
    <w:p w14:paraId="4188477F" w14:textId="77777777" w:rsidR="00296435" w:rsidRPr="00296435" w:rsidRDefault="007E7A2B" w:rsidP="0029643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A84050">
        <w:rPr>
          <w:rFonts w:ascii="Arial" w:hAnsi="Arial" w:cs="Arial"/>
          <w:sz w:val="24"/>
        </w:rPr>
        <w:t xml:space="preserve">Nie </w:t>
      </w:r>
    </w:p>
    <w:p w14:paraId="242B98D2" w14:textId="77777777" w:rsidR="00296435" w:rsidRDefault="00296435" w:rsidP="00296435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37928748" w14:textId="77777777" w:rsidR="007E7A2B" w:rsidRDefault="007E7A2B" w:rsidP="00B500A0">
      <w:pPr>
        <w:spacing w:after="0" w:line="240" w:lineRule="auto"/>
        <w:rPr>
          <w:rFonts w:ascii="Arial" w:hAnsi="Arial" w:cs="Arial"/>
          <w:b/>
          <w:sz w:val="24"/>
        </w:rPr>
      </w:pPr>
      <w:r w:rsidRPr="009C37AF">
        <w:rPr>
          <w:rFonts w:ascii="Arial" w:hAnsi="Arial" w:cs="Arial"/>
          <w:b/>
          <w:sz w:val="24"/>
        </w:rPr>
        <w:t>III.</w:t>
      </w:r>
      <w:r>
        <w:rPr>
          <w:rFonts w:ascii="Arial" w:hAnsi="Arial" w:cs="Arial"/>
          <w:b/>
          <w:sz w:val="24"/>
        </w:rPr>
        <w:t xml:space="preserve"> </w:t>
      </w:r>
      <w:bookmarkStart w:id="3" w:name="_Hlk174441212"/>
      <w:r>
        <w:rPr>
          <w:rFonts w:ascii="Arial" w:hAnsi="Arial" w:cs="Arial"/>
          <w:b/>
          <w:sz w:val="24"/>
        </w:rPr>
        <w:t>Wymogi określone w art. 34 ust. 2a i 2b regulaminu Sejmu</w:t>
      </w:r>
    </w:p>
    <w:p w14:paraId="0B5CAA94" w14:textId="77777777" w:rsidR="007E7A2B" w:rsidRPr="009C37AF" w:rsidRDefault="007E7A2B" w:rsidP="00B500A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bookmarkEnd w:id="3"/>
    </w:p>
    <w:p w14:paraId="7D08A5EF" w14:textId="77777777" w:rsidR="007E7A2B" w:rsidRPr="009C37AF" w:rsidRDefault="007E7A2B" w:rsidP="00B500A0">
      <w:pPr>
        <w:spacing w:after="0" w:line="240" w:lineRule="auto"/>
        <w:jc w:val="both"/>
        <w:rPr>
          <w:rFonts w:ascii="Arial" w:hAnsi="Arial" w:cs="Arial"/>
          <w:sz w:val="24"/>
        </w:rPr>
      </w:pPr>
      <w:r w:rsidRPr="009C37AF">
        <w:rPr>
          <w:rFonts w:ascii="Arial" w:hAnsi="Arial" w:cs="Arial"/>
          <w:sz w:val="24"/>
        </w:rPr>
        <w:t>[</w:t>
      </w:r>
      <w:r>
        <w:rPr>
          <w:rFonts w:ascii="Arial" w:hAnsi="Arial" w:cs="Arial"/>
          <w:sz w:val="24"/>
        </w:rPr>
        <w:t>9</w:t>
      </w:r>
      <w:r w:rsidRPr="009C37AF">
        <w:rPr>
          <w:rFonts w:ascii="Arial" w:hAnsi="Arial" w:cs="Arial"/>
          <w:sz w:val="24"/>
        </w:rPr>
        <w:t>] Czy projekt ustawy zawiera przepisy określające zasady podejmowania, wykonywania lub zakończenia działalności gospodarczej (art. 34 ust. 2a regulaminu Sejmu)</w:t>
      </w:r>
      <w:r>
        <w:rPr>
          <w:rFonts w:ascii="Arial" w:hAnsi="Arial" w:cs="Arial"/>
          <w:sz w:val="24"/>
        </w:rPr>
        <w:t>?</w:t>
      </w:r>
    </w:p>
    <w:p w14:paraId="4FD2CE8A" w14:textId="77777777" w:rsidR="007E7A2B" w:rsidRPr="009C37AF" w:rsidRDefault="007E7A2B" w:rsidP="00B500A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Nie</w:t>
      </w:r>
    </w:p>
    <w:p w14:paraId="654A62C4" w14:textId="77777777" w:rsidR="007E7A2B" w:rsidRPr="005E6B97" w:rsidRDefault="007E7A2B" w:rsidP="00B500A0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1BBE2D9" w14:textId="77777777" w:rsidR="007E7A2B" w:rsidRPr="009C37AF" w:rsidRDefault="007E7A2B" w:rsidP="00B500A0">
      <w:pPr>
        <w:spacing w:after="0" w:line="240" w:lineRule="auto"/>
        <w:jc w:val="both"/>
        <w:rPr>
          <w:rFonts w:ascii="Arial" w:hAnsi="Arial" w:cs="Arial"/>
          <w:sz w:val="24"/>
        </w:rPr>
      </w:pPr>
      <w:r w:rsidRPr="009C37AF">
        <w:rPr>
          <w:rFonts w:ascii="Arial" w:hAnsi="Arial" w:cs="Arial"/>
          <w:sz w:val="24"/>
        </w:rPr>
        <w:t>[</w:t>
      </w:r>
      <w:r>
        <w:rPr>
          <w:rFonts w:ascii="Arial" w:hAnsi="Arial" w:cs="Arial"/>
          <w:sz w:val="24"/>
        </w:rPr>
        <w:t>10</w:t>
      </w:r>
      <w:r w:rsidRPr="009C37AF">
        <w:rPr>
          <w:rFonts w:ascii="Arial" w:hAnsi="Arial" w:cs="Arial"/>
          <w:sz w:val="24"/>
        </w:rPr>
        <w:t>] Czy wdrożenie projektowanych przepisów spowoduje obciążenia administracyjne mikroprzedsiębiorców, małych i średnich przedsiębiorców</w:t>
      </w:r>
      <w:r>
        <w:rPr>
          <w:rFonts w:ascii="Arial" w:hAnsi="Arial" w:cs="Arial"/>
          <w:sz w:val="24"/>
        </w:rPr>
        <w:t xml:space="preserve"> </w:t>
      </w:r>
      <w:r w:rsidRPr="009C37AF">
        <w:rPr>
          <w:rFonts w:ascii="Arial" w:hAnsi="Arial" w:cs="Arial"/>
          <w:sz w:val="24"/>
        </w:rPr>
        <w:t>(art. 34 ust. 2a regulaminu Sejmu)</w:t>
      </w:r>
      <w:r>
        <w:rPr>
          <w:rFonts w:ascii="Arial" w:hAnsi="Arial" w:cs="Arial"/>
          <w:sz w:val="24"/>
        </w:rPr>
        <w:t>?</w:t>
      </w:r>
    </w:p>
    <w:p w14:paraId="4FFAA361" w14:textId="77777777" w:rsidR="007E7A2B" w:rsidRPr="009C37AF" w:rsidRDefault="007E7A2B" w:rsidP="00B500A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Nie</w:t>
      </w:r>
    </w:p>
    <w:p w14:paraId="5D5AA684" w14:textId="77777777" w:rsidR="007E7A2B" w:rsidRPr="005E6B97" w:rsidRDefault="007E7A2B" w:rsidP="00B500A0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9B2ED77" w14:textId="77777777" w:rsidR="007E7A2B" w:rsidRPr="009C37AF" w:rsidRDefault="007E7A2B" w:rsidP="00B500A0">
      <w:pPr>
        <w:spacing w:after="0" w:line="240" w:lineRule="auto"/>
        <w:jc w:val="both"/>
        <w:rPr>
          <w:rFonts w:ascii="Arial" w:hAnsi="Arial" w:cs="Arial"/>
          <w:sz w:val="24"/>
        </w:rPr>
      </w:pPr>
      <w:r w:rsidRPr="009C37AF">
        <w:rPr>
          <w:rFonts w:ascii="Arial" w:hAnsi="Arial" w:cs="Arial"/>
          <w:sz w:val="24"/>
        </w:rPr>
        <w:t>[1</w:t>
      </w:r>
      <w:r>
        <w:rPr>
          <w:rFonts w:ascii="Arial" w:hAnsi="Arial" w:cs="Arial"/>
          <w:sz w:val="24"/>
        </w:rPr>
        <w:t>1</w:t>
      </w:r>
      <w:r w:rsidRPr="009C37AF">
        <w:rPr>
          <w:rFonts w:ascii="Arial" w:hAnsi="Arial" w:cs="Arial"/>
          <w:sz w:val="24"/>
        </w:rPr>
        <w:t>] Czy projekt ustawy zawiera przepisy regulacyjne lub określa wymogi dotyczące świadczenia usług transgranicznych w rozumieniu ustawy z dnia 22 grudnia 2015 r. o</w:t>
      </w:r>
      <w:r>
        <w:rPr>
          <w:rFonts w:ascii="Arial" w:hAnsi="Arial" w:cs="Arial"/>
          <w:sz w:val="24"/>
        </w:rPr>
        <w:t> </w:t>
      </w:r>
      <w:r w:rsidRPr="009C37AF">
        <w:rPr>
          <w:rFonts w:ascii="Arial" w:hAnsi="Arial" w:cs="Arial"/>
          <w:sz w:val="24"/>
        </w:rPr>
        <w:t>zasadach uznawania kwalifikacji zawodowych nabytych w państwach członkowskich Unii Europejskiej (art. 34 ust. 2b regulaminu Sejmu)?</w:t>
      </w:r>
    </w:p>
    <w:p w14:paraId="604CF46D" w14:textId="77777777" w:rsidR="007E7A2B" w:rsidRPr="009C37AF" w:rsidRDefault="007E7A2B" w:rsidP="00B500A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Nie</w:t>
      </w:r>
      <w:r w:rsidRPr="009C37AF">
        <w:rPr>
          <w:rFonts w:ascii="Arial" w:hAnsi="Arial" w:cs="Arial"/>
          <w:sz w:val="24"/>
        </w:rPr>
        <w:t xml:space="preserve"> </w:t>
      </w:r>
    </w:p>
    <w:p w14:paraId="0349DFBB" w14:textId="77777777" w:rsidR="007E7A2B" w:rsidRPr="009C37AF" w:rsidRDefault="007E7A2B" w:rsidP="00B500A0">
      <w:pPr>
        <w:spacing w:after="0" w:line="240" w:lineRule="auto"/>
        <w:rPr>
          <w:rFonts w:ascii="Arial" w:hAnsi="Arial" w:cs="Arial"/>
          <w:sz w:val="24"/>
        </w:rPr>
      </w:pPr>
    </w:p>
    <w:p w14:paraId="4418AC26" w14:textId="77777777" w:rsidR="007E7A2B" w:rsidRPr="002C0619" w:rsidRDefault="007E7A2B" w:rsidP="00B500A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E7A2B" w:rsidRPr="002C0619" w:rsidSect="00F4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38DBB" w14:textId="77777777" w:rsidR="00C16B76" w:rsidRDefault="00C16B76" w:rsidP="002637B8">
      <w:pPr>
        <w:spacing w:after="0" w:line="240" w:lineRule="auto"/>
      </w:pPr>
      <w:r>
        <w:separator/>
      </w:r>
    </w:p>
  </w:endnote>
  <w:endnote w:type="continuationSeparator" w:id="0">
    <w:p w14:paraId="2F0605E6" w14:textId="77777777" w:rsidR="00C16B76" w:rsidRDefault="00C16B76" w:rsidP="00263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27A63" w14:textId="77777777" w:rsidR="00C16B76" w:rsidRDefault="00C16B76" w:rsidP="002637B8">
      <w:pPr>
        <w:spacing w:after="0" w:line="240" w:lineRule="auto"/>
      </w:pPr>
      <w:r>
        <w:separator/>
      </w:r>
    </w:p>
  </w:footnote>
  <w:footnote w:type="continuationSeparator" w:id="0">
    <w:p w14:paraId="61F651E7" w14:textId="77777777" w:rsidR="00C16B76" w:rsidRDefault="00C16B76" w:rsidP="00263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1FD"/>
    <w:multiLevelType w:val="hybridMultilevel"/>
    <w:tmpl w:val="6EA89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F0910"/>
    <w:multiLevelType w:val="hybridMultilevel"/>
    <w:tmpl w:val="948EB548"/>
    <w:lvl w:ilvl="0" w:tplc="19EA727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21ACD"/>
    <w:multiLevelType w:val="hybridMultilevel"/>
    <w:tmpl w:val="46BAA0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56306"/>
    <w:multiLevelType w:val="hybridMultilevel"/>
    <w:tmpl w:val="3F167F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C3EE0"/>
    <w:multiLevelType w:val="hybridMultilevel"/>
    <w:tmpl w:val="A894B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83B01"/>
    <w:multiLevelType w:val="hybridMultilevel"/>
    <w:tmpl w:val="D06EB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51C87"/>
    <w:multiLevelType w:val="hybridMultilevel"/>
    <w:tmpl w:val="54522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32EB2"/>
    <w:multiLevelType w:val="hybridMultilevel"/>
    <w:tmpl w:val="1E20F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50207"/>
    <w:multiLevelType w:val="hybridMultilevel"/>
    <w:tmpl w:val="418E2FE2"/>
    <w:lvl w:ilvl="0" w:tplc="D0503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96C9E"/>
    <w:multiLevelType w:val="hybridMultilevel"/>
    <w:tmpl w:val="64129D4C"/>
    <w:lvl w:ilvl="0" w:tplc="06647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4746E"/>
    <w:multiLevelType w:val="hybridMultilevel"/>
    <w:tmpl w:val="0E3A31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45502">
    <w:abstractNumId w:val="0"/>
  </w:num>
  <w:num w:numId="2" w16cid:durableId="1585871584">
    <w:abstractNumId w:val="10"/>
  </w:num>
  <w:num w:numId="3" w16cid:durableId="581837526">
    <w:abstractNumId w:val="7"/>
  </w:num>
  <w:num w:numId="4" w16cid:durableId="114716192">
    <w:abstractNumId w:val="9"/>
  </w:num>
  <w:num w:numId="5" w16cid:durableId="727457190">
    <w:abstractNumId w:val="2"/>
  </w:num>
  <w:num w:numId="6" w16cid:durableId="543249541">
    <w:abstractNumId w:val="1"/>
  </w:num>
  <w:num w:numId="7" w16cid:durableId="1972053154">
    <w:abstractNumId w:val="5"/>
  </w:num>
  <w:num w:numId="8" w16cid:durableId="138815560">
    <w:abstractNumId w:val="3"/>
  </w:num>
  <w:num w:numId="9" w16cid:durableId="552733419">
    <w:abstractNumId w:val="6"/>
  </w:num>
  <w:num w:numId="10" w16cid:durableId="186718859">
    <w:abstractNumId w:val="8"/>
  </w:num>
  <w:num w:numId="11" w16cid:durableId="553582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97"/>
    <w:rsid w:val="00002248"/>
    <w:rsid w:val="0000311B"/>
    <w:rsid w:val="00007908"/>
    <w:rsid w:val="00035605"/>
    <w:rsid w:val="00045B79"/>
    <w:rsid w:val="00051BEF"/>
    <w:rsid w:val="00067713"/>
    <w:rsid w:val="000830D6"/>
    <w:rsid w:val="000964A2"/>
    <w:rsid w:val="000A4228"/>
    <w:rsid w:val="000B2486"/>
    <w:rsid w:val="000B2702"/>
    <w:rsid w:val="000D1B54"/>
    <w:rsid w:val="000D37CD"/>
    <w:rsid w:val="000E1990"/>
    <w:rsid w:val="000F6445"/>
    <w:rsid w:val="00101F31"/>
    <w:rsid w:val="00114E5D"/>
    <w:rsid w:val="00162827"/>
    <w:rsid w:val="00172945"/>
    <w:rsid w:val="001A6485"/>
    <w:rsid w:val="001B1BF9"/>
    <w:rsid w:val="001D58F1"/>
    <w:rsid w:val="001F1124"/>
    <w:rsid w:val="001F4003"/>
    <w:rsid w:val="001F5251"/>
    <w:rsid w:val="00203DEB"/>
    <w:rsid w:val="00212002"/>
    <w:rsid w:val="00233BCE"/>
    <w:rsid w:val="00260D1D"/>
    <w:rsid w:val="002637B8"/>
    <w:rsid w:val="0028613C"/>
    <w:rsid w:val="00287C7C"/>
    <w:rsid w:val="00296435"/>
    <w:rsid w:val="002C0619"/>
    <w:rsid w:val="002E49EB"/>
    <w:rsid w:val="00345C63"/>
    <w:rsid w:val="00355F65"/>
    <w:rsid w:val="003D4FD7"/>
    <w:rsid w:val="003F0DAB"/>
    <w:rsid w:val="003F3B51"/>
    <w:rsid w:val="00416FD4"/>
    <w:rsid w:val="0042101E"/>
    <w:rsid w:val="004B6654"/>
    <w:rsid w:val="004C2060"/>
    <w:rsid w:val="004C2B74"/>
    <w:rsid w:val="00505291"/>
    <w:rsid w:val="005103B8"/>
    <w:rsid w:val="0051690A"/>
    <w:rsid w:val="00524B45"/>
    <w:rsid w:val="00563FDB"/>
    <w:rsid w:val="005E2086"/>
    <w:rsid w:val="0060338E"/>
    <w:rsid w:val="00622FF0"/>
    <w:rsid w:val="00651B20"/>
    <w:rsid w:val="006635F4"/>
    <w:rsid w:val="00666B80"/>
    <w:rsid w:val="00671632"/>
    <w:rsid w:val="006730C1"/>
    <w:rsid w:val="00695CDA"/>
    <w:rsid w:val="006C1B0E"/>
    <w:rsid w:val="006C7498"/>
    <w:rsid w:val="006D5439"/>
    <w:rsid w:val="006F3781"/>
    <w:rsid w:val="007420F7"/>
    <w:rsid w:val="00771A74"/>
    <w:rsid w:val="007E39AE"/>
    <w:rsid w:val="007E7A2B"/>
    <w:rsid w:val="00824874"/>
    <w:rsid w:val="00824BCB"/>
    <w:rsid w:val="00826AC6"/>
    <w:rsid w:val="008C0D5E"/>
    <w:rsid w:val="0091419C"/>
    <w:rsid w:val="00925059"/>
    <w:rsid w:val="009448DA"/>
    <w:rsid w:val="009855E1"/>
    <w:rsid w:val="009978A3"/>
    <w:rsid w:val="009C0E81"/>
    <w:rsid w:val="009D359E"/>
    <w:rsid w:val="009E7291"/>
    <w:rsid w:val="009F6D66"/>
    <w:rsid w:val="00A14258"/>
    <w:rsid w:val="00A15B66"/>
    <w:rsid w:val="00A37764"/>
    <w:rsid w:val="00A44823"/>
    <w:rsid w:val="00A64429"/>
    <w:rsid w:val="00A70286"/>
    <w:rsid w:val="00A84050"/>
    <w:rsid w:val="00A84AA2"/>
    <w:rsid w:val="00AD23B8"/>
    <w:rsid w:val="00AE0915"/>
    <w:rsid w:val="00B17DD5"/>
    <w:rsid w:val="00B27A35"/>
    <w:rsid w:val="00B332B5"/>
    <w:rsid w:val="00B500A0"/>
    <w:rsid w:val="00B62A7E"/>
    <w:rsid w:val="00B71557"/>
    <w:rsid w:val="00B808B6"/>
    <w:rsid w:val="00BB180D"/>
    <w:rsid w:val="00BC11B4"/>
    <w:rsid w:val="00BD1AD4"/>
    <w:rsid w:val="00BE63C8"/>
    <w:rsid w:val="00BE6FCE"/>
    <w:rsid w:val="00BF4364"/>
    <w:rsid w:val="00C111BB"/>
    <w:rsid w:val="00C16B76"/>
    <w:rsid w:val="00C6437D"/>
    <w:rsid w:val="00CC39F1"/>
    <w:rsid w:val="00CE5353"/>
    <w:rsid w:val="00CF33E1"/>
    <w:rsid w:val="00D26B73"/>
    <w:rsid w:val="00D94C82"/>
    <w:rsid w:val="00DA7A3C"/>
    <w:rsid w:val="00DF1354"/>
    <w:rsid w:val="00E27722"/>
    <w:rsid w:val="00E44794"/>
    <w:rsid w:val="00E516F0"/>
    <w:rsid w:val="00E62AF0"/>
    <w:rsid w:val="00EA7A4D"/>
    <w:rsid w:val="00EC0E86"/>
    <w:rsid w:val="00ED49F0"/>
    <w:rsid w:val="00ED5541"/>
    <w:rsid w:val="00EE43BC"/>
    <w:rsid w:val="00F00497"/>
    <w:rsid w:val="00F00F99"/>
    <w:rsid w:val="00F11D47"/>
    <w:rsid w:val="00F1202C"/>
    <w:rsid w:val="00F20396"/>
    <w:rsid w:val="00F45AEF"/>
    <w:rsid w:val="00F718D3"/>
    <w:rsid w:val="00FA0B0C"/>
    <w:rsid w:val="00FA0F4A"/>
    <w:rsid w:val="00FB0B15"/>
    <w:rsid w:val="00FB401E"/>
    <w:rsid w:val="00FE14CF"/>
    <w:rsid w:val="00FE2FFF"/>
    <w:rsid w:val="00FE5F76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4C37"/>
  <w15:docId w15:val="{739588FE-1E8A-435B-BFAA-3293685F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4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uiPriority w:val="99"/>
    <w:rsid w:val="00F00497"/>
    <w:p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yt">
    <w:name w:val="tyt"/>
    <w:basedOn w:val="Normalny"/>
    <w:uiPriority w:val="99"/>
    <w:rsid w:val="00F00497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Default">
    <w:name w:val="Default"/>
    <w:uiPriority w:val="99"/>
    <w:rsid w:val="00F0049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en-GB" w:eastAsia="zh-CN"/>
    </w:rPr>
  </w:style>
  <w:style w:type="paragraph" w:customStyle="1" w:styleId="PKTpunkt">
    <w:name w:val="PKT – punkt"/>
    <w:basedOn w:val="Normalny"/>
    <w:link w:val="PKTpunktZnak"/>
    <w:uiPriority w:val="16"/>
    <w:qFormat/>
    <w:rsid w:val="00F00497"/>
    <w:pPr>
      <w:suppressAutoHyphens/>
      <w:autoSpaceDE w:val="0"/>
      <w:autoSpaceDN w:val="0"/>
      <w:adjustRightInd w:val="0"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F00497"/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F00497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F0049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37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37B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37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637B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A35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A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A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A3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A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A3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2772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E7A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table" w:styleId="Tabela-Siatka">
    <w:name w:val="Table Grid"/>
    <w:basedOn w:val="Standardowy"/>
    <w:uiPriority w:val="39"/>
    <w:rsid w:val="007E7A2B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69790-E8E5-463A-97E3-42505EA6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1676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Pater</dc:creator>
  <cp:lastModifiedBy>Jacek Perechowski</cp:lastModifiedBy>
  <cp:revision>2</cp:revision>
  <cp:lastPrinted>2026-06-30T09:27:00Z</cp:lastPrinted>
  <dcterms:created xsi:type="dcterms:W3CDTF">2026-07-06T13:34:00Z</dcterms:created>
  <dcterms:modified xsi:type="dcterms:W3CDTF">2026-07-06T13:34:00Z</dcterms:modified>
</cp:coreProperties>
</file>